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B1949">
      <w:pPr>
        <w:pStyle w:val="a3"/>
        <w:rPr>
          <w:rFonts w:cs="David"/>
          <w:b w:val="0"/>
          <w:bCs w:val="0"/>
          <w:sz w:val="26"/>
          <w:szCs w:val="26"/>
          <w:u w:val="none"/>
          <w:rtl/>
        </w:rPr>
      </w:pPr>
      <w:bookmarkStart w:id="0" w:name="_GoBack"/>
      <w:bookmarkEnd w:id="0"/>
      <w:r>
        <w:rPr>
          <w:rFonts w:cs="David"/>
          <w:u w:val="none"/>
          <w:rtl/>
        </w:rPr>
        <w:t>הכנסת השבע-עשרה</w:t>
      </w:r>
    </w:p>
    <w:p w:rsidR="00000000" w:rsidRDefault="00AB1949">
      <w:pPr>
        <w:rPr>
          <w:rFonts w:cs="David"/>
          <w:sz w:val="26"/>
          <w:szCs w:val="26"/>
          <w:rtl/>
        </w:rPr>
      </w:pPr>
    </w:p>
    <w:p w:rsidR="00000000" w:rsidRDefault="00AB1949">
      <w:pPr>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771"/>
      </w:tblGrid>
      <w:tr w:rsidR="00000000">
        <w:tblPrEx>
          <w:tblCellMar>
            <w:top w:w="0" w:type="dxa"/>
            <w:bottom w:w="0" w:type="dxa"/>
          </w:tblCellMar>
        </w:tblPrEx>
        <w:tc>
          <w:tcPr>
            <w:tcW w:w="4771" w:type="dxa"/>
            <w:tcBorders>
              <w:top w:val="nil"/>
              <w:left w:val="nil"/>
              <w:bottom w:val="single" w:sz="4" w:space="0" w:color="auto"/>
              <w:right w:val="nil"/>
            </w:tcBorders>
          </w:tcPr>
          <w:p w:rsidR="00000000" w:rsidRDefault="00AB1949">
            <w:pPr>
              <w:spacing w:after="120"/>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יעקב מרגי</w:t>
            </w:r>
          </w:p>
        </w:tc>
      </w:tr>
    </w:tbl>
    <w:p w:rsidR="00000000" w:rsidRDefault="00AB1949">
      <w:pPr>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t xml:space="preserve">                 </w:t>
      </w:r>
      <w:r>
        <w:rPr>
          <w:rFonts w:cs="David"/>
          <w:b/>
          <w:bCs/>
          <w:rtl/>
        </w:rPr>
        <w:t>פ/1028/17</w:t>
      </w:r>
    </w:p>
    <w:p w:rsidR="00000000" w:rsidRDefault="00AB1949">
      <w:pPr>
        <w:jc w:val="center"/>
        <w:rPr>
          <w:rFonts w:hAnsi="FrankRuehl" w:cs="FrankRuehl"/>
          <w:color w:val="000000"/>
          <w:sz w:val="28"/>
          <w:szCs w:val="28"/>
          <w:rtl/>
        </w:rPr>
      </w:pPr>
    </w:p>
    <w:p w:rsidR="00000000" w:rsidRDefault="00AB1949">
      <w:pPr>
        <w:jc w:val="center"/>
        <w:rPr>
          <w:rFonts w:cs="David"/>
          <w:b/>
          <w:bCs/>
          <w:sz w:val="26"/>
          <w:szCs w:val="26"/>
          <w:rtl/>
        </w:rPr>
      </w:pPr>
      <w:r>
        <w:rPr>
          <w:rFonts w:cs="David"/>
          <w:b/>
          <w:bCs/>
          <w:sz w:val="26"/>
          <w:szCs w:val="26"/>
          <w:rtl/>
        </w:rPr>
        <w:t>הצעת חוק הפיקוח על שירותים פיננסיים (ביטוח)(תיקון – איסור הפליה במתן שיר</w:t>
      </w:r>
      <w:r>
        <w:rPr>
          <w:rFonts w:cs="David"/>
          <w:b/>
          <w:bCs/>
          <w:sz w:val="26"/>
          <w:szCs w:val="26"/>
          <w:rtl/>
        </w:rPr>
        <w:t>ותי ביטוח), התשס"ו-2006</w:t>
      </w:r>
    </w:p>
    <w:p w:rsidR="00000000" w:rsidRDefault="00AB1949">
      <w:pPr>
        <w:rPr>
          <w:rFonts w:cs="David"/>
          <w:sz w:val="26"/>
          <w:szCs w:val="26"/>
          <w:rtl/>
        </w:rPr>
      </w:pPr>
    </w:p>
    <w:p w:rsidR="00000000" w:rsidRDefault="00AB1949">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48"/>
        <w:gridCol w:w="534"/>
        <w:gridCol w:w="855"/>
        <w:gridCol w:w="786"/>
        <w:gridCol w:w="540"/>
        <w:gridCol w:w="4557"/>
      </w:tblGrid>
      <w:tr w:rsidR="00000000">
        <w:tblPrEx>
          <w:tblCellMar>
            <w:top w:w="0" w:type="dxa"/>
            <w:bottom w:w="0" w:type="dxa"/>
          </w:tblCellMar>
        </w:tblPrEx>
        <w:trPr>
          <w:cantSplit/>
        </w:trPr>
        <w:tc>
          <w:tcPr>
            <w:tcW w:w="1148" w:type="dxa"/>
            <w:tcBorders>
              <w:top w:val="nil"/>
              <w:left w:val="nil"/>
              <w:bottom w:val="nil"/>
              <w:right w:val="nil"/>
            </w:tcBorders>
          </w:tcPr>
          <w:p w:rsidR="00000000" w:rsidRDefault="00AB1949">
            <w:pPr>
              <w:spacing w:after="120"/>
              <w:rPr>
                <w:rFonts w:cs="David"/>
                <w:sz w:val="26"/>
                <w:szCs w:val="26"/>
              </w:rPr>
            </w:pPr>
            <w:r>
              <w:rPr>
                <w:rFonts w:cs="David"/>
                <w:sz w:val="26"/>
                <w:szCs w:val="26"/>
                <w:rtl/>
              </w:rPr>
              <w:t>הוספת סעיף 59ב</w:t>
            </w:r>
          </w:p>
        </w:tc>
        <w:tc>
          <w:tcPr>
            <w:tcW w:w="534" w:type="dxa"/>
            <w:tcBorders>
              <w:top w:val="nil"/>
              <w:left w:val="nil"/>
              <w:bottom w:val="nil"/>
              <w:right w:val="nil"/>
            </w:tcBorders>
          </w:tcPr>
          <w:p w:rsidR="00000000" w:rsidRDefault="00AB1949">
            <w:pPr>
              <w:spacing w:after="120"/>
              <w:rPr>
                <w:rFonts w:cs="David"/>
                <w:sz w:val="26"/>
                <w:szCs w:val="26"/>
              </w:rPr>
            </w:pPr>
            <w:r>
              <w:rPr>
                <w:rFonts w:cs="David"/>
                <w:sz w:val="26"/>
                <w:szCs w:val="26"/>
                <w:rtl/>
              </w:rPr>
              <w:t>1.</w:t>
            </w:r>
          </w:p>
        </w:tc>
        <w:tc>
          <w:tcPr>
            <w:tcW w:w="6738" w:type="dxa"/>
            <w:gridSpan w:val="4"/>
            <w:tcBorders>
              <w:top w:val="nil"/>
              <w:left w:val="nil"/>
              <w:bottom w:val="nil"/>
              <w:right w:val="nil"/>
            </w:tcBorders>
          </w:tcPr>
          <w:p w:rsidR="00000000" w:rsidRDefault="00AB1949">
            <w:pPr>
              <w:spacing w:after="120"/>
              <w:jc w:val="both"/>
              <w:rPr>
                <w:rFonts w:cs="David"/>
                <w:sz w:val="26"/>
                <w:szCs w:val="26"/>
              </w:rPr>
            </w:pPr>
            <w:r>
              <w:rPr>
                <w:rFonts w:cs="David"/>
                <w:sz w:val="26"/>
                <w:szCs w:val="26"/>
                <w:rtl/>
              </w:rPr>
              <w:t>בחוק הפיקוח על שירותים פיננסיים (ביטוח), התשמ"א-1981</w:t>
            </w:r>
            <w:r>
              <w:rPr>
                <w:rStyle w:val="aa"/>
                <w:rFonts w:cs="David"/>
                <w:sz w:val="26"/>
                <w:szCs w:val="26"/>
                <w:rtl/>
              </w:rPr>
              <w:footnoteReference w:id="1"/>
            </w:r>
            <w:r>
              <w:rPr>
                <w:rFonts w:cs="David"/>
                <w:sz w:val="26"/>
                <w:szCs w:val="26"/>
                <w:rtl/>
              </w:rPr>
              <w:t>, אחרי סעיף 59א יבוא:</w:t>
            </w:r>
          </w:p>
        </w:tc>
      </w:tr>
      <w:tr w:rsidR="00000000">
        <w:tblPrEx>
          <w:tblCellMar>
            <w:top w:w="0" w:type="dxa"/>
            <w:bottom w:w="0" w:type="dxa"/>
          </w:tblCellMar>
        </w:tblPrEx>
        <w:trPr>
          <w:cantSplit/>
        </w:trPr>
        <w:tc>
          <w:tcPr>
            <w:tcW w:w="1148" w:type="dxa"/>
            <w:tcBorders>
              <w:top w:val="nil"/>
              <w:left w:val="nil"/>
              <w:bottom w:val="nil"/>
              <w:right w:val="nil"/>
            </w:tcBorders>
          </w:tcPr>
          <w:p w:rsidR="00000000" w:rsidRDefault="00AB1949">
            <w:pPr>
              <w:spacing w:after="120"/>
              <w:rPr>
                <w:rFonts w:cs="David"/>
                <w:sz w:val="26"/>
                <w:szCs w:val="26"/>
              </w:rPr>
            </w:pPr>
          </w:p>
        </w:tc>
        <w:tc>
          <w:tcPr>
            <w:tcW w:w="534" w:type="dxa"/>
            <w:tcBorders>
              <w:top w:val="nil"/>
              <w:left w:val="nil"/>
              <w:bottom w:val="nil"/>
              <w:right w:val="nil"/>
            </w:tcBorders>
          </w:tcPr>
          <w:p w:rsidR="00000000" w:rsidRDefault="00AB1949">
            <w:pPr>
              <w:spacing w:after="120"/>
              <w:rPr>
                <w:rFonts w:cs="David"/>
                <w:sz w:val="26"/>
                <w:szCs w:val="26"/>
              </w:rPr>
            </w:pPr>
          </w:p>
        </w:tc>
        <w:tc>
          <w:tcPr>
            <w:tcW w:w="855" w:type="dxa"/>
            <w:vMerge w:val="restart"/>
            <w:tcBorders>
              <w:top w:val="nil"/>
              <w:left w:val="nil"/>
              <w:bottom w:val="nil"/>
              <w:right w:val="nil"/>
            </w:tcBorders>
          </w:tcPr>
          <w:p w:rsidR="00000000" w:rsidRDefault="00AB1949">
            <w:pPr>
              <w:spacing w:after="120"/>
              <w:rPr>
                <w:rFonts w:cs="David"/>
                <w:sz w:val="26"/>
                <w:szCs w:val="26"/>
              </w:rPr>
            </w:pPr>
            <w:r>
              <w:rPr>
                <w:rFonts w:cs="David"/>
                <w:sz w:val="26"/>
                <w:szCs w:val="26"/>
                <w:rtl/>
              </w:rPr>
              <w:t>"איסור הפליה במתן שירותי ביטוח</w:t>
            </w:r>
          </w:p>
        </w:tc>
        <w:tc>
          <w:tcPr>
            <w:tcW w:w="786" w:type="dxa"/>
            <w:tcBorders>
              <w:top w:val="nil"/>
              <w:left w:val="nil"/>
              <w:bottom w:val="nil"/>
              <w:right w:val="nil"/>
            </w:tcBorders>
          </w:tcPr>
          <w:p w:rsidR="00000000" w:rsidRDefault="00AB1949">
            <w:pPr>
              <w:spacing w:after="120"/>
              <w:rPr>
                <w:rFonts w:cs="David"/>
                <w:sz w:val="26"/>
                <w:szCs w:val="26"/>
              </w:rPr>
            </w:pPr>
            <w:r>
              <w:rPr>
                <w:rFonts w:cs="David"/>
                <w:sz w:val="26"/>
                <w:szCs w:val="26"/>
                <w:rtl/>
              </w:rPr>
              <w:t>59ב.</w:t>
            </w:r>
          </w:p>
        </w:tc>
        <w:tc>
          <w:tcPr>
            <w:tcW w:w="540" w:type="dxa"/>
            <w:tcBorders>
              <w:top w:val="nil"/>
              <w:left w:val="nil"/>
              <w:bottom w:val="nil"/>
              <w:right w:val="nil"/>
            </w:tcBorders>
          </w:tcPr>
          <w:p w:rsidR="00000000" w:rsidRDefault="00AB1949">
            <w:pPr>
              <w:spacing w:after="120"/>
              <w:rPr>
                <w:rFonts w:cs="David"/>
                <w:sz w:val="26"/>
                <w:szCs w:val="26"/>
              </w:rPr>
            </w:pPr>
            <w:r>
              <w:rPr>
                <w:rFonts w:cs="David"/>
                <w:sz w:val="26"/>
                <w:szCs w:val="26"/>
                <w:rtl/>
              </w:rPr>
              <w:t>(א)</w:t>
            </w:r>
          </w:p>
        </w:tc>
        <w:tc>
          <w:tcPr>
            <w:tcW w:w="4557" w:type="dxa"/>
            <w:tcBorders>
              <w:top w:val="nil"/>
              <w:left w:val="nil"/>
              <w:bottom w:val="nil"/>
              <w:right w:val="nil"/>
            </w:tcBorders>
          </w:tcPr>
          <w:p w:rsidR="00000000" w:rsidRDefault="00AB1949">
            <w:pPr>
              <w:spacing w:after="120"/>
              <w:jc w:val="both"/>
              <w:rPr>
                <w:rFonts w:cs="David"/>
                <w:sz w:val="26"/>
                <w:szCs w:val="26"/>
              </w:rPr>
            </w:pPr>
            <w:r>
              <w:rPr>
                <w:rFonts w:cs="David"/>
                <w:sz w:val="26"/>
                <w:szCs w:val="26"/>
                <w:rtl/>
              </w:rPr>
              <w:t>מבטח לא יפלה מבוטח או אדם המבקש להתקשר בהסכם ביטוח בשל מקום מגוריו או מ</w:t>
            </w:r>
            <w:r>
              <w:rPr>
                <w:rFonts w:cs="David"/>
                <w:sz w:val="26"/>
                <w:szCs w:val="26"/>
                <w:rtl/>
              </w:rPr>
              <w:t>קום עסקו;</w:t>
            </w:r>
          </w:p>
        </w:tc>
      </w:tr>
      <w:tr w:rsidR="00000000">
        <w:tblPrEx>
          <w:tblCellMar>
            <w:top w:w="0" w:type="dxa"/>
            <w:bottom w:w="0" w:type="dxa"/>
          </w:tblCellMar>
        </w:tblPrEx>
        <w:trPr>
          <w:cantSplit/>
        </w:trPr>
        <w:tc>
          <w:tcPr>
            <w:tcW w:w="1148" w:type="dxa"/>
            <w:tcBorders>
              <w:top w:val="nil"/>
              <w:left w:val="nil"/>
              <w:bottom w:val="nil"/>
              <w:right w:val="nil"/>
            </w:tcBorders>
          </w:tcPr>
          <w:p w:rsidR="00000000" w:rsidRDefault="00AB1949">
            <w:pPr>
              <w:spacing w:after="120"/>
              <w:rPr>
                <w:rFonts w:cs="David"/>
                <w:sz w:val="26"/>
                <w:szCs w:val="26"/>
              </w:rPr>
            </w:pPr>
          </w:p>
        </w:tc>
        <w:tc>
          <w:tcPr>
            <w:tcW w:w="534" w:type="dxa"/>
            <w:tcBorders>
              <w:top w:val="nil"/>
              <w:left w:val="nil"/>
              <w:bottom w:val="nil"/>
              <w:right w:val="nil"/>
            </w:tcBorders>
          </w:tcPr>
          <w:p w:rsidR="00000000" w:rsidRDefault="00AB1949">
            <w:pPr>
              <w:spacing w:after="120"/>
              <w:rPr>
                <w:rFonts w:cs="David"/>
                <w:sz w:val="26"/>
                <w:szCs w:val="26"/>
              </w:rPr>
            </w:pPr>
          </w:p>
        </w:tc>
        <w:tc>
          <w:tcPr>
            <w:tcW w:w="855" w:type="dxa"/>
            <w:vMerge/>
            <w:tcBorders>
              <w:top w:val="nil"/>
              <w:left w:val="nil"/>
              <w:bottom w:val="nil"/>
              <w:right w:val="nil"/>
            </w:tcBorders>
          </w:tcPr>
          <w:p w:rsidR="00000000" w:rsidRDefault="00AB1949">
            <w:pPr>
              <w:spacing w:after="120"/>
              <w:rPr>
                <w:rFonts w:cs="David"/>
                <w:sz w:val="26"/>
                <w:szCs w:val="26"/>
              </w:rPr>
            </w:pPr>
          </w:p>
        </w:tc>
        <w:tc>
          <w:tcPr>
            <w:tcW w:w="786" w:type="dxa"/>
            <w:tcBorders>
              <w:top w:val="nil"/>
              <w:left w:val="nil"/>
              <w:bottom w:val="nil"/>
              <w:right w:val="nil"/>
            </w:tcBorders>
          </w:tcPr>
          <w:p w:rsidR="00000000" w:rsidRDefault="00AB1949">
            <w:pPr>
              <w:spacing w:after="120"/>
              <w:rPr>
                <w:rFonts w:cs="David"/>
                <w:sz w:val="26"/>
                <w:szCs w:val="26"/>
              </w:rPr>
            </w:pPr>
          </w:p>
        </w:tc>
        <w:tc>
          <w:tcPr>
            <w:tcW w:w="540" w:type="dxa"/>
            <w:tcBorders>
              <w:top w:val="nil"/>
              <w:left w:val="nil"/>
              <w:bottom w:val="nil"/>
              <w:right w:val="nil"/>
            </w:tcBorders>
          </w:tcPr>
          <w:p w:rsidR="00000000" w:rsidRDefault="00AB1949">
            <w:pPr>
              <w:spacing w:after="120"/>
              <w:rPr>
                <w:rFonts w:cs="David"/>
                <w:sz w:val="26"/>
                <w:szCs w:val="26"/>
              </w:rPr>
            </w:pPr>
            <w:r>
              <w:rPr>
                <w:rFonts w:cs="David"/>
                <w:sz w:val="26"/>
                <w:szCs w:val="26"/>
                <w:rtl/>
              </w:rPr>
              <w:t>(ב)</w:t>
            </w:r>
          </w:p>
        </w:tc>
        <w:tc>
          <w:tcPr>
            <w:tcW w:w="4557" w:type="dxa"/>
            <w:tcBorders>
              <w:top w:val="nil"/>
              <w:left w:val="nil"/>
              <w:bottom w:val="nil"/>
              <w:right w:val="nil"/>
            </w:tcBorders>
          </w:tcPr>
          <w:p w:rsidR="00000000" w:rsidRDefault="00AB1949">
            <w:pPr>
              <w:spacing w:after="120"/>
              <w:jc w:val="both"/>
              <w:rPr>
                <w:rFonts w:cs="David"/>
                <w:sz w:val="26"/>
                <w:szCs w:val="26"/>
              </w:rPr>
            </w:pPr>
            <w:r>
              <w:rPr>
                <w:rFonts w:cs="David"/>
                <w:sz w:val="26"/>
                <w:szCs w:val="26"/>
                <w:rtl/>
              </w:rPr>
              <w:t>חברת ביטוח לא תסרב לאדם המבקש להתקשר בהסכם ביטוח בשל שיקולי כדאיות הביטוח, עקב נסיבות שאינן בשליטתו של אותו אדם;</w:t>
            </w:r>
          </w:p>
        </w:tc>
      </w:tr>
      <w:tr w:rsidR="00000000">
        <w:tblPrEx>
          <w:tblCellMar>
            <w:top w:w="0" w:type="dxa"/>
            <w:bottom w:w="0" w:type="dxa"/>
          </w:tblCellMar>
        </w:tblPrEx>
        <w:trPr>
          <w:cantSplit/>
        </w:trPr>
        <w:tc>
          <w:tcPr>
            <w:tcW w:w="1148" w:type="dxa"/>
            <w:tcBorders>
              <w:top w:val="nil"/>
              <w:left w:val="nil"/>
              <w:bottom w:val="nil"/>
              <w:right w:val="nil"/>
            </w:tcBorders>
          </w:tcPr>
          <w:p w:rsidR="00000000" w:rsidRDefault="00AB1949">
            <w:pPr>
              <w:spacing w:after="120"/>
              <w:rPr>
                <w:rFonts w:cs="David"/>
                <w:sz w:val="26"/>
                <w:szCs w:val="26"/>
              </w:rPr>
            </w:pPr>
          </w:p>
        </w:tc>
        <w:tc>
          <w:tcPr>
            <w:tcW w:w="534" w:type="dxa"/>
            <w:tcBorders>
              <w:top w:val="nil"/>
              <w:left w:val="nil"/>
              <w:bottom w:val="nil"/>
              <w:right w:val="nil"/>
            </w:tcBorders>
          </w:tcPr>
          <w:p w:rsidR="00000000" w:rsidRDefault="00AB1949">
            <w:pPr>
              <w:spacing w:after="120"/>
              <w:rPr>
                <w:rFonts w:cs="David"/>
                <w:sz w:val="26"/>
                <w:szCs w:val="26"/>
              </w:rPr>
            </w:pPr>
          </w:p>
        </w:tc>
        <w:tc>
          <w:tcPr>
            <w:tcW w:w="855" w:type="dxa"/>
            <w:tcBorders>
              <w:top w:val="nil"/>
              <w:left w:val="nil"/>
              <w:bottom w:val="nil"/>
              <w:right w:val="nil"/>
            </w:tcBorders>
          </w:tcPr>
          <w:p w:rsidR="00000000" w:rsidRDefault="00AB1949">
            <w:pPr>
              <w:spacing w:after="120"/>
              <w:rPr>
                <w:rFonts w:cs="David"/>
                <w:sz w:val="26"/>
                <w:szCs w:val="26"/>
              </w:rPr>
            </w:pPr>
          </w:p>
        </w:tc>
        <w:tc>
          <w:tcPr>
            <w:tcW w:w="786" w:type="dxa"/>
            <w:tcBorders>
              <w:top w:val="nil"/>
              <w:left w:val="nil"/>
              <w:bottom w:val="nil"/>
              <w:right w:val="nil"/>
            </w:tcBorders>
          </w:tcPr>
          <w:p w:rsidR="00000000" w:rsidRDefault="00AB1949">
            <w:pPr>
              <w:spacing w:after="120"/>
              <w:rPr>
                <w:rFonts w:cs="David"/>
                <w:sz w:val="26"/>
                <w:szCs w:val="26"/>
              </w:rPr>
            </w:pPr>
          </w:p>
        </w:tc>
        <w:tc>
          <w:tcPr>
            <w:tcW w:w="540" w:type="dxa"/>
            <w:tcBorders>
              <w:top w:val="nil"/>
              <w:left w:val="nil"/>
              <w:bottom w:val="nil"/>
              <w:right w:val="nil"/>
            </w:tcBorders>
          </w:tcPr>
          <w:p w:rsidR="00000000" w:rsidRDefault="00AB1949">
            <w:pPr>
              <w:spacing w:after="120"/>
              <w:rPr>
                <w:rFonts w:cs="David"/>
                <w:sz w:val="26"/>
                <w:szCs w:val="26"/>
              </w:rPr>
            </w:pPr>
            <w:r>
              <w:rPr>
                <w:rFonts w:cs="David"/>
                <w:sz w:val="26"/>
                <w:szCs w:val="26"/>
                <w:rtl/>
              </w:rPr>
              <w:t>(ג)</w:t>
            </w:r>
          </w:p>
        </w:tc>
        <w:tc>
          <w:tcPr>
            <w:tcW w:w="4557" w:type="dxa"/>
            <w:tcBorders>
              <w:top w:val="nil"/>
              <w:left w:val="nil"/>
              <w:bottom w:val="nil"/>
              <w:right w:val="nil"/>
            </w:tcBorders>
          </w:tcPr>
          <w:p w:rsidR="00000000" w:rsidRDefault="00AB1949">
            <w:pPr>
              <w:spacing w:after="120"/>
              <w:jc w:val="both"/>
              <w:rPr>
                <w:rFonts w:cs="David"/>
                <w:sz w:val="26"/>
                <w:szCs w:val="26"/>
              </w:rPr>
            </w:pPr>
            <w:r>
              <w:rPr>
                <w:rFonts w:cs="David"/>
                <w:sz w:val="26"/>
                <w:szCs w:val="26"/>
                <w:rtl/>
              </w:rPr>
              <w:t>סעיף 59ב יחול רק על ענפי ביטוח קיימים."</w:t>
            </w:r>
          </w:p>
        </w:tc>
      </w:tr>
    </w:tbl>
    <w:p w:rsidR="00000000" w:rsidRDefault="00AB1949">
      <w:pPr>
        <w:rPr>
          <w:rFonts w:cs="David"/>
          <w:sz w:val="26"/>
          <w:szCs w:val="26"/>
          <w:rtl/>
        </w:rPr>
      </w:pPr>
    </w:p>
    <w:p w:rsidR="00000000" w:rsidRDefault="00AB1949">
      <w:pPr>
        <w:jc w:val="both"/>
        <w:rPr>
          <w:rFonts w:cs="David"/>
          <w:sz w:val="26"/>
          <w:szCs w:val="26"/>
          <w:rtl/>
        </w:rPr>
      </w:pPr>
    </w:p>
    <w:p w:rsidR="00000000" w:rsidRDefault="00AB1949">
      <w:pPr>
        <w:jc w:val="both"/>
        <w:rPr>
          <w:rFonts w:cs="David"/>
          <w:sz w:val="26"/>
          <w:szCs w:val="26"/>
          <w:rtl/>
        </w:rPr>
      </w:pPr>
    </w:p>
    <w:p w:rsidR="00000000" w:rsidRDefault="00AB1949">
      <w:pPr>
        <w:jc w:val="center"/>
        <w:rPr>
          <w:rFonts w:cs="David"/>
          <w:sz w:val="26"/>
          <w:szCs w:val="26"/>
          <w:rtl/>
        </w:rPr>
      </w:pPr>
      <w:r>
        <w:rPr>
          <w:rFonts w:cs="David"/>
          <w:b/>
          <w:bCs/>
          <w:sz w:val="28"/>
          <w:szCs w:val="28"/>
          <w:u w:val="single"/>
          <w:rtl/>
        </w:rPr>
        <w:t>דברי - הסבר</w:t>
      </w:r>
    </w:p>
    <w:p w:rsidR="00000000" w:rsidRDefault="00AB1949">
      <w:pPr>
        <w:jc w:val="both"/>
        <w:rPr>
          <w:rFonts w:cs="David"/>
          <w:sz w:val="26"/>
          <w:szCs w:val="26"/>
          <w:rtl/>
        </w:rPr>
      </w:pPr>
    </w:p>
    <w:p w:rsidR="00000000" w:rsidRDefault="00AB1949">
      <w:pPr>
        <w:jc w:val="both"/>
        <w:rPr>
          <w:rFonts w:cs="David"/>
          <w:sz w:val="26"/>
          <w:szCs w:val="26"/>
          <w:rtl/>
        </w:rPr>
      </w:pPr>
    </w:p>
    <w:p w:rsidR="00000000" w:rsidRDefault="00AB1949">
      <w:pPr>
        <w:jc w:val="both"/>
        <w:rPr>
          <w:rFonts w:cs="David"/>
          <w:sz w:val="26"/>
          <w:szCs w:val="26"/>
          <w:rtl/>
        </w:rPr>
      </w:pPr>
      <w:r>
        <w:rPr>
          <w:rFonts w:cs="David"/>
          <w:sz w:val="26"/>
          <w:szCs w:val="26"/>
          <w:rtl/>
        </w:rPr>
        <w:t>לנוכח הקשיים במיגור הפשע בדרום וכן לאור הפשיעה הגואה כלפי</w:t>
      </w:r>
      <w:r>
        <w:rPr>
          <w:rFonts w:cs="David"/>
          <w:sz w:val="26"/>
          <w:szCs w:val="26"/>
          <w:rtl/>
        </w:rPr>
        <w:t xml:space="preserve"> סוחרי באר שבע נוצר מצב שחברות ביטוח מסרבות לבטח מגזרים שלמים באוכלוסייה.</w:t>
      </w:r>
    </w:p>
    <w:p w:rsidR="00000000" w:rsidRDefault="00AB1949">
      <w:pPr>
        <w:jc w:val="both"/>
        <w:rPr>
          <w:rFonts w:cs="David"/>
          <w:sz w:val="26"/>
          <w:szCs w:val="26"/>
          <w:rtl/>
        </w:rPr>
      </w:pPr>
      <w:r>
        <w:rPr>
          <w:rFonts w:cs="David"/>
          <w:sz w:val="26"/>
          <w:szCs w:val="26"/>
          <w:rtl/>
        </w:rPr>
        <w:t>לא ייתכן שמבטח שקיבל רשיון מהמדינה יפעל על פי שיקול רווח והפסד בלבד ולא ייתכן שחלק גדול משטחי המדינה לא יוכל להיות מבוטח בכל סוגי הביטוח הקיימים. על כן, יש צורך לקבוע בחוק איסור הפלי</w:t>
      </w:r>
      <w:r>
        <w:rPr>
          <w:rFonts w:cs="David"/>
          <w:sz w:val="26"/>
          <w:szCs w:val="26"/>
          <w:rtl/>
        </w:rPr>
        <w:t>ה על ידי חברות הביטוח בשל מקום מגורים או מקום עסקים של מבוטח או של כל אדם המבקש להתקשר בהסכם ביטוח, לרבות לענין תעריפי הביטוח, וכן לקבוע כי חברת ביטוח לא תסרב לאדם המבקש להתקשר בהסכם ביטוח בשל שיקולי כדאיות הביטוח, עקב נסיבות שאינן בשליטתו של אותו אדם כגון</w:t>
      </w:r>
      <w:r>
        <w:rPr>
          <w:rFonts w:cs="David"/>
          <w:sz w:val="26"/>
          <w:szCs w:val="26"/>
          <w:rtl/>
        </w:rPr>
        <w:t xml:space="preserve"> רמת פשיעה.</w:t>
      </w:r>
    </w:p>
    <w:p w:rsidR="00000000" w:rsidRDefault="00AB1949">
      <w:pPr>
        <w:jc w:val="both"/>
        <w:rPr>
          <w:rFonts w:cs="David"/>
          <w:sz w:val="26"/>
          <w:szCs w:val="26"/>
          <w:rtl/>
        </w:rPr>
      </w:pPr>
    </w:p>
    <w:p w:rsidR="00000000" w:rsidRDefault="00AB1949">
      <w:pPr>
        <w:jc w:val="both"/>
        <w:rPr>
          <w:rFonts w:cs="David"/>
          <w:sz w:val="26"/>
          <w:szCs w:val="26"/>
          <w:rtl/>
        </w:rPr>
      </w:pPr>
      <w:r>
        <w:rPr>
          <w:rFonts w:cs="David"/>
          <w:sz w:val="26"/>
          <w:szCs w:val="26"/>
          <w:rtl/>
        </w:rPr>
        <w:t>הצעת חוק דומה בעיקרה הונחה על שולחן הכנסת השש-עשרה על ידי חבר הכנסת יעקב מרגי (פ/2226) אשר הוסרה מסדר היום של הכנסת ביום 22.12.2004.</w:t>
      </w:r>
    </w:p>
    <w:p w:rsidR="00000000" w:rsidRDefault="00AB1949">
      <w:pPr>
        <w:jc w:val="both"/>
        <w:rPr>
          <w:rFonts w:cs="David"/>
          <w:sz w:val="26"/>
          <w:szCs w:val="26"/>
          <w:rtl/>
        </w:rPr>
      </w:pPr>
    </w:p>
    <w:p w:rsidR="00000000" w:rsidRDefault="00AB1949">
      <w:pPr>
        <w:jc w:val="both"/>
        <w:rPr>
          <w:rFonts w:cs="David"/>
          <w:sz w:val="26"/>
          <w:szCs w:val="26"/>
          <w:rtl/>
        </w:rPr>
      </w:pPr>
    </w:p>
    <w:p w:rsidR="00000000" w:rsidRDefault="00AB1949">
      <w:pPr>
        <w:jc w:val="both"/>
        <w:rPr>
          <w:rFonts w:cs="David"/>
          <w:sz w:val="26"/>
          <w:szCs w:val="26"/>
          <w:rtl/>
        </w:rPr>
      </w:pPr>
    </w:p>
    <w:p w:rsidR="00000000" w:rsidRDefault="00AB1949">
      <w:pPr>
        <w:jc w:val="both"/>
        <w:rPr>
          <w:rFonts w:cs="David"/>
          <w:sz w:val="26"/>
          <w:szCs w:val="26"/>
          <w:rtl/>
        </w:rPr>
      </w:pPr>
    </w:p>
    <w:p w:rsidR="00000000" w:rsidRDefault="00AB1949">
      <w:pPr>
        <w:jc w:val="both"/>
        <w:rPr>
          <w:rFonts w:cs="David"/>
          <w:sz w:val="26"/>
          <w:szCs w:val="26"/>
          <w:rtl/>
        </w:rPr>
      </w:pPr>
      <w:r>
        <w:rPr>
          <w:rFonts w:cs="David"/>
          <w:sz w:val="26"/>
          <w:szCs w:val="26"/>
          <w:rtl/>
        </w:rPr>
        <w:t>-----------------------------</w:t>
      </w:r>
    </w:p>
    <w:p w:rsidR="00000000" w:rsidRDefault="00AB1949">
      <w:pPr>
        <w:spacing w:line="360" w:lineRule="auto"/>
        <w:jc w:val="both"/>
        <w:rPr>
          <w:rFonts w:cs="David"/>
          <w:sz w:val="26"/>
          <w:szCs w:val="26"/>
          <w:rtl/>
        </w:rPr>
      </w:pPr>
      <w:r>
        <w:rPr>
          <w:rFonts w:cs="David"/>
          <w:sz w:val="26"/>
          <w:szCs w:val="26"/>
          <w:rtl/>
        </w:rPr>
        <w:t>הוגשה ליו"ר הכנסת והסגנים</w:t>
      </w:r>
    </w:p>
    <w:p w:rsidR="00000000" w:rsidRDefault="00AB1949">
      <w:pPr>
        <w:spacing w:line="360" w:lineRule="auto"/>
        <w:jc w:val="both"/>
        <w:rPr>
          <w:rFonts w:cs="David"/>
          <w:sz w:val="26"/>
          <w:szCs w:val="26"/>
          <w:rtl/>
        </w:rPr>
      </w:pPr>
      <w:r>
        <w:rPr>
          <w:rFonts w:cs="David"/>
          <w:sz w:val="26"/>
          <w:szCs w:val="26"/>
          <w:rtl/>
        </w:rPr>
        <w:t>והונחה על שלחן הכנסת ביום</w:t>
      </w:r>
    </w:p>
    <w:p w:rsidR="00000000" w:rsidRDefault="00AB1949">
      <w:pPr>
        <w:spacing w:line="360" w:lineRule="auto"/>
        <w:jc w:val="both"/>
        <w:rPr>
          <w:rFonts w:cs="David"/>
          <w:sz w:val="26"/>
          <w:szCs w:val="26"/>
          <w:rtl/>
        </w:rPr>
      </w:pPr>
      <w:r>
        <w:rPr>
          <w:rFonts w:cs="David"/>
          <w:sz w:val="26"/>
          <w:szCs w:val="26"/>
          <w:rtl/>
        </w:rPr>
        <w:t>כ"א בתמוז התשס"ו –</w:t>
      </w:r>
      <w:r>
        <w:rPr>
          <w:rFonts w:cs="David"/>
          <w:sz w:val="26"/>
          <w:szCs w:val="26"/>
          <w:rtl/>
        </w:rPr>
        <w:t xml:space="preserve"> 17.7.06</w:t>
      </w:r>
    </w:p>
    <w:p w:rsidR="00000000" w:rsidRDefault="00AB1949">
      <w:pPr>
        <w:spacing w:line="360" w:lineRule="auto"/>
        <w:jc w:val="both"/>
        <w:rPr>
          <w:rFonts w:cs="David"/>
          <w:sz w:val="26"/>
          <w:szCs w:val="26"/>
          <w:rtl/>
        </w:rPr>
      </w:pPr>
    </w:p>
    <w:p w:rsidR="00000000" w:rsidRDefault="00AB1949">
      <w:pPr>
        <w:jc w:val="both"/>
        <w:rPr>
          <w:rFonts w:cs="David"/>
          <w:sz w:val="26"/>
          <w:szCs w:val="26"/>
          <w:rtl/>
        </w:rPr>
      </w:pPr>
    </w:p>
    <w:p w:rsidR="00000000" w:rsidRDefault="00AB1949">
      <w:pPr>
        <w:jc w:val="both"/>
        <w:rPr>
          <w:rFonts w:cs="David"/>
          <w:sz w:val="26"/>
          <w:szCs w:val="26"/>
          <w:rtl/>
        </w:rPr>
      </w:pPr>
    </w:p>
    <w:p w:rsidR="00000000" w:rsidRDefault="00AB1949"/>
    <w:p w:rsidR="00000000" w:rsidRDefault="00AB1949">
      <w:pPr>
        <w:pStyle w:val="a3"/>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B1949">
      <w:r>
        <w:separator/>
      </w:r>
    </w:p>
  </w:endnote>
  <w:endnote w:type="continuationSeparator" w:id="0">
    <w:p w:rsidR="00000000" w:rsidRDefault="00AB1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B1949">
      <w:r>
        <w:separator/>
      </w:r>
    </w:p>
  </w:footnote>
  <w:footnote w:type="continuationSeparator" w:id="0">
    <w:p w:rsidR="00000000" w:rsidRDefault="00AB1949">
      <w:r>
        <w:continuationSeparator/>
      </w:r>
    </w:p>
  </w:footnote>
  <w:footnote w:id="1">
    <w:p w:rsidR="00000000" w:rsidRDefault="00AB1949">
      <w:pPr>
        <w:pStyle w:val="a8"/>
      </w:pPr>
      <w:r>
        <w:rPr>
          <w:rStyle w:val="aa"/>
        </w:rPr>
        <w:footnoteRef/>
      </w:r>
      <w:r>
        <w:t xml:space="preserve"> </w:t>
      </w:r>
      <w:r>
        <w:rPr>
          <w:rFonts w:cs="David"/>
          <w:rtl/>
        </w:rPr>
        <w:t>ס"ח התשמ"א, עמ' 208.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B1949">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AB194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4219ëãàéåú ááéèåç.doc"/>
    <w:docVar w:name="StartMode" w:val="2"/>
  </w:docVars>
  <w:rsids>
    <w:rsidRoot w:val="00AB1949"/>
    <w:rsid w:val="00AB1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236</Words>
  <Characters>1184</Characters>
  <Application>Microsoft Office Word</Application>
  <DocSecurity>0</DocSecurity>
  <Lines>9</Lines>
  <Paragraphs>2</Paragraphs>
  <ScaleCrop>false</ScaleCrop>
  <Company>knesset</Company>
  <LinksUpToDate>false</LinksUpToDate>
  <CharactersWithSpaces>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הפיקוח על שירותים פיננסיים (ביטוח)(תיקון - איסור הפליה במתן שירותי ביטוח), התשס"ו-2006</dc:title>
  <dc:subject/>
  <dc:creator>Knesset</dc:creator>
  <cp:keywords/>
  <dc:description/>
  <cp:lastModifiedBy>שמואל כוכב</cp:lastModifiedBy>
  <cp:revision>2</cp:revision>
  <cp:lastPrinted>2006-07-10T09:59:00Z</cp:lastPrinted>
  <dcterms:created xsi:type="dcterms:W3CDTF">2015-02-03T16:35:00Z</dcterms:created>
  <dcterms:modified xsi:type="dcterms:W3CDTF">2015-02-03T16:35:00Z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יעקב מרגי</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03799706</vt:lpwstr>
  </property>
  <property fmtid="{D5CDD505-2E9C-101B-9397-08002B2CF9AE}" pid="10" name="מספר הצעת חוק למיון">
    <vt:lpwstr>1028</vt:lpwstr>
  </property>
  <property fmtid="{D5CDD505-2E9C-101B-9397-08002B2CF9AE}" pid="11" name="SDDocDate">
    <vt:lpwstr>2006-07-10T00:00:00Z</vt:lpwstr>
  </property>
  <property fmtid="{D5CDD505-2E9C-101B-9397-08002B2CF9AE}" pid="12" name="SDHebDate">
    <vt:lpwstr>י"ד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פ/1029/17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