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143F73">
      <w:pPr>
        <w:pStyle w:val="a3"/>
        <w:rPr>
          <w:rFonts w:cs="David"/>
          <w:b w:val="0"/>
          <w:bCs w:val="0"/>
          <w:sz w:val="26"/>
          <w:szCs w:val="26"/>
          <w:u w:val="none"/>
          <w:rtl/>
        </w:rPr>
      </w:pPr>
      <w:bookmarkStart w:id="0" w:name="_GoBack"/>
      <w:bookmarkEnd w:id="0"/>
      <w:r>
        <w:rPr>
          <w:rFonts w:cs="David"/>
          <w:u w:val="none"/>
          <w:rtl/>
        </w:rPr>
        <w:t>הכנסת השבע-עשרה</w:t>
      </w:r>
    </w:p>
    <w:p w:rsidR="00000000" w:rsidRDefault="00143F73">
      <w:pPr>
        <w:rPr>
          <w:rFonts w:cs="David"/>
          <w:sz w:val="26"/>
          <w:szCs w:val="26"/>
          <w:rtl/>
        </w:rPr>
      </w:pPr>
    </w:p>
    <w:p w:rsidR="00000000" w:rsidRDefault="00143F73">
      <w:pPr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Ind w:w="4485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403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0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43F73">
            <w:pPr>
              <w:spacing w:after="120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הצעת</w:t>
            </w:r>
            <w:r>
              <w:rPr>
                <w:rFonts w:cs="David"/>
                <w:sz w:val="26"/>
                <w:szCs w:val="26"/>
              </w:rPr>
              <w:t xml:space="preserve"> </w:t>
            </w:r>
            <w:r>
              <w:rPr>
                <w:rFonts w:cs="David"/>
                <w:sz w:val="26"/>
                <w:szCs w:val="26"/>
                <w:rtl/>
              </w:rPr>
              <w:t xml:space="preserve">חוק של חבר הכנסת </w:t>
            </w:r>
            <w:r>
              <w:rPr>
                <w:rFonts w:cs="David"/>
                <w:b/>
                <w:bCs/>
                <w:sz w:val="26"/>
                <w:szCs w:val="26"/>
                <w:rtl/>
              </w:rPr>
              <w:t>זבולון אורלב</w:t>
            </w:r>
          </w:p>
        </w:tc>
      </w:tr>
    </w:tbl>
    <w:p w:rsidR="00000000" w:rsidRDefault="00143F73">
      <w:pPr>
        <w:jc w:val="center"/>
        <w:rPr>
          <w:rFonts w:cs="David"/>
          <w:b/>
          <w:bCs/>
          <w:rtl/>
        </w:rPr>
      </w:pP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</w:r>
      <w:r>
        <w:rPr>
          <w:rFonts w:cs="David"/>
          <w:sz w:val="26"/>
          <w:szCs w:val="26"/>
          <w:rtl/>
        </w:rPr>
        <w:tab/>
        <w:t xml:space="preserve">      </w:t>
      </w:r>
      <w:r>
        <w:rPr>
          <w:rFonts w:cs="David"/>
          <w:b/>
          <w:bCs/>
          <w:rtl/>
        </w:rPr>
        <w:t>פ/1196/17</w:t>
      </w:r>
    </w:p>
    <w:p w:rsidR="00000000" w:rsidRDefault="00143F73">
      <w:pPr>
        <w:rPr>
          <w:rFonts w:cs="David"/>
          <w:sz w:val="26"/>
          <w:szCs w:val="26"/>
          <w:rtl/>
        </w:rPr>
      </w:pPr>
    </w:p>
    <w:p w:rsidR="00000000" w:rsidRDefault="00143F73">
      <w:pPr>
        <w:rPr>
          <w:rFonts w:cs="David"/>
          <w:sz w:val="26"/>
          <w:szCs w:val="26"/>
          <w:rtl/>
        </w:rPr>
      </w:pPr>
    </w:p>
    <w:p w:rsidR="00000000" w:rsidRDefault="00143F73">
      <w:pPr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/>
          <w:b/>
          <w:bCs/>
          <w:sz w:val="28"/>
          <w:szCs w:val="28"/>
          <w:rtl/>
        </w:rPr>
        <w:t>הצעת חוק שוויון ההזדמנויות בעבודה (תיקון - זכויות הורה), התשס"ו-2006</w:t>
      </w:r>
    </w:p>
    <w:p w:rsidR="00000000" w:rsidRDefault="00143F73">
      <w:pPr>
        <w:rPr>
          <w:rFonts w:cs="David"/>
          <w:sz w:val="26"/>
          <w:szCs w:val="26"/>
          <w:rtl/>
        </w:rPr>
      </w:pPr>
    </w:p>
    <w:p w:rsidR="00000000" w:rsidRDefault="00143F73">
      <w:pPr>
        <w:rPr>
          <w:rFonts w:cs="David"/>
          <w:sz w:val="26"/>
          <w:szCs w:val="26"/>
          <w:rtl/>
        </w:rPr>
      </w:pPr>
    </w:p>
    <w:tbl>
      <w:tblPr>
        <w:bidiVisual/>
        <w:tblW w:w="0" w:type="auto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161"/>
        <w:gridCol w:w="552"/>
        <w:gridCol w:w="6707"/>
      </w:tblGrid>
      <w:tr w:rsidR="00000000"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43F73">
            <w:pPr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תיקון ס</w:t>
            </w:r>
            <w:r>
              <w:rPr>
                <w:rFonts w:cs="David"/>
                <w:sz w:val="26"/>
                <w:szCs w:val="26"/>
                <w:rtl/>
              </w:rPr>
              <w:t>עיף 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43F73">
            <w:pPr>
              <w:spacing w:line="360" w:lineRule="auto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1.</w:t>
            </w:r>
          </w:p>
        </w:tc>
        <w:tc>
          <w:tcPr>
            <w:tcW w:w="702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43F73">
            <w:pPr>
              <w:spacing w:line="360" w:lineRule="auto"/>
              <w:jc w:val="both"/>
              <w:rPr>
                <w:rFonts w:cs="David"/>
                <w:sz w:val="26"/>
                <w:szCs w:val="26"/>
              </w:rPr>
            </w:pPr>
            <w:r>
              <w:rPr>
                <w:rFonts w:cs="David"/>
                <w:sz w:val="26"/>
                <w:szCs w:val="26"/>
                <w:rtl/>
              </w:rPr>
              <w:t>בחוק שוויון ההזדמנויות בעבודה, התשמ"ח-1988</w:t>
            </w:r>
            <w:r>
              <w:rPr>
                <w:rStyle w:val="aa"/>
                <w:rFonts w:cs="David"/>
                <w:sz w:val="26"/>
                <w:szCs w:val="26"/>
                <w:rtl/>
              </w:rPr>
              <w:footnoteReference w:id="1"/>
            </w:r>
            <w:r>
              <w:rPr>
                <w:rFonts w:cs="David"/>
                <w:sz w:val="26"/>
                <w:szCs w:val="26"/>
                <w:rtl/>
              </w:rPr>
              <w:t>, בסעיף 4(א)(1), אחרי "בת זוגו היא עובדת" יבוא "או עובדת עצמאית".</w:t>
            </w:r>
          </w:p>
        </w:tc>
      </w:tr>
    </w:tbl>
    <w:p w:rsidR="00000000" w:rsidRDefault="00143F73">
      <w:pPr>
        <w:rPr>
          <w:rFonts w:cs="David"/>
          <w:sz w:val="26"/>
          <w:szCs w:val="26"/>
          <w:rtl/>
        </w:rPr>
      </w:pPr>
    </w:p>
    <w:p w:rsidR="00000000" w:rsidRDefault="00143F73">
      <w:pPr>
        <w:jc w:val="both"/>
        <w:rPr>
          <w:rFonts w:cs="David"/>
          <w:sz w:val="26"/>
          <w:szCs w:val="26"/>
          <w:rtl/>
        </w:rPr>
      </w:pPr>
    </w:p>
    <w:p w:rsidR="00000000" w:rsidRDefault="00143F73">
      <w:pPr>
        <w:jc w:val="center"/>
        <w:rPr>
          <w:rFonts w:cs="David"/>
          <w:sz w:val="26"/>
          <w:szCs w:val="26"/>
          <w:rtl/>
        </w:rPr>
      </w:pPr>
      <w:r>
        <w:rPr>
          <w:rFonts w:cs="David"/>
          <w:b/>
          <w:bCs/>
          <w:sz w:val="28"/>
          <w:szCs w:val="28"/>
          <w:u w:val="single"/>
          <w:rtl/>
        </w:rPr>
        <w:t>דברי – הסבר</w:t>
      </w:r>
    </w:p>
    <w:p w:rsidR="00000000" w:rsidRDefault="00143F73">
      <w:pPr>
        <w:jc w:val="center"/>
        <w:rPr>
          <w:rFonts w:cs="David"/>
          <w:sz w:val="26"/>
          <w:szCs w:val="26"/>
          <w:rtl/>
        </w:rPr>
      </w:pPr>
    </w:p>
    <w:p w:rsidR="00000000" w:rsidRDefault="00143F73">
      <w:pPr>
        <w:jc w:val="both"/>
        <w:rPr>
          <w:rFonts w:cs="David"/>
          <w:sz w:val="26"/>
          <w:szCs w:val="26"/>
          <w:rtl/>
        </w:rPr>
      </w:pPr>
    </w:p>
    <w:p w:rsidR="00000000" w:rsidRDefault="00143F73">
      <w:pPr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סעיף 4 לחוק שוויון ההזדמנויות בעבודה, התשמ"ח-1988 (להלן – החוק), מקנה זכויות בקשר להורות גם לעובד ש</w:t>
      </w:r>
      <w:r>
        <w:rPr>
          <w:rFonts w:cs="David"/>
          <w:sz w:val="26"/>
          <w:szCs w:val="26"/>
          <w:rtl/>
        </w:rPr>
        <w:t>בת זוגו היא עובדת אשר לא נעדרה מעבודתה, או שלא השתמשה בזכאותה על פי החוק.</w:t>
      </w:r>
    </w:p>
    <w:p w:rsidR="00000000" w:rsidRDefault="00143F73">
      <w:pPr>
        <w:jc w:val="both"/>
        <w:rPr>
          <w:rFonts w:cs="David"/>
          <w:sz w:val="26"/>
          <w:szCs w:val="26"/>
          <w:rtl/>
        </w:rPr>
      </w:pPr>
    </w:p>
    <w:p w:rsidR="00000000" w:rsidRDefault="00143F73">
      <w:pPr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 xml:space="preserve">בית הדין הארצי לעבודה קבע בע"ע 1039/00 מדינת ישראל נ' מנחם יהב, פד"ע לג(13)33, כי יש להחיל זכויות הורה אלה גם אם בת הזוג הינה עובדת עצמאית וזאת על מנת להקנות הקלות לבן זוגה של אישה </w:t>
      </w:r>
      <w:r>
        <w:rPr>
          <w:rFonts w:cs="David"/>
          <w:sz w:val="26"/>
          <w:szCs w:val="26"/>
          <w:rtl/>
        </w:rPr>
        <w:t xml:space="preserve">עצמאית. הקלות אלו מאפשרות לנשים, מחד, לצאת ולהשתלב בשוק העבודה, הן כעובדות שכירות והן כעובדות עצמאיות, ולדאוג לילדיהן מאידך. </w:t>
      </w:r>
    </w:p>
    <w:p w:rsidR="00000000" w:rsidRDefault="00143F73">
      <w:pPr>
        <w:jc w:val="both"/>
        <w:rPr>
          <w:rFonts w:cs="David"/>
          <w:sz w:val="26"/>
          <w:szCs w:val="26"/>
          <w:rtl/>
        </w:rPr>
      </w:pPr>
    </w:p>
    <w:p w:rsidR="00000000" w:rsidRDefault="00143F73">
      <w:pPr>
        <w:jc w:val="both"/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 xml:space="preserve">מוצע לעגן את פסיקת בית הדין הארצי לעבודה, בחוק האמור. </w:t>
      </w:r>
    </w:p>
    <w:p w:rsidR="00000000" w:rsidRDefault="00143F73">
      <w:pPr>
        <w:jc w:val="both"/>
        <w:rPr>
          <w:rFonts w:cs="David"/>
          <w:sz w:val="26"/>
          <w:szCs w:val="26"/>
          <w:rtl/>
        </w:rPr>
      </w:pPr>
    </w:p>
    <w:p w:rsidR="00000000" w:rsidRDefault="00143F73">
      <w:pPr>
        <w:rPr>
          <w:rFonts w:cs="David"/>
          <w:sz w:val="26"/>
          <w:szCs w:val="26"/>
          <w:rtl/>
        </w:rPr>
      </w:pPr>
      <w:r>
        <w:rPr>
          <w:rFonts w:cs="David"/>
          <w:sz w:val="26"/>
          <w:szCs w:val="26"/>
          <w:rtl/>
        </w:rPr>
        <w:t>הצעת חוק זהה הונחה על שולחן בכנסת השש-עשרה על ידי חבר הכנסת שאול יהלום (פ</w:t>
      </w:r>
      <w:r>
        <w:rPr>
          <w:rFonts w:cs="David"/>
          <w:sz w:val="26"/>
          <w:szCs w:val="26"/>
          <w:rtl/>
        </w:rPr>
        <w:t>/1022).</w:t>
      </w:r>
    </w:p>
    <w:p w:rsidR="00000000" w:rsidRDefault="00143F73">
      <w:pPr>
        <w:rPr>
          <w:rFonts w:cs="David"/>
          <w:sz w:val="26"/>
          <w:szCs w:val="26"/>
          <w:rtl/>
        </w:rPr>
      </w:pPr>
    </w:p>
    <w:p w:rsidR="00000000" w:rsidRDefault="00143F73">
      <w:pPr>
        <w:jc w:val="both"/>
        <w:rPr>
          <w:rFonts w:cs="David"/>
          <w:sz w:val="26"/>
          <w:szCs w:val="26"/>
          <w:rtl/>
        </w:rPr>
      </w:pPr>
    </w:p>
    <w:p w:rsidR="00000000" w:rsidRDefault="00143F73">
      <w:pPr>
        <w:jc w:val="both"/>
        <w:rPr>
          <w:rtl/>
        </w:rPr>
      </w:pPr>
    </w:p>
    <w:p w:rsidR="00000000" w:rsidRDefault="00143F73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</w:p>
    <w:p w:rsidR="00000000" w:rsidRDefault="00143F73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</w:p>
    <w:p w:rsidR="00000000" w:rsidRDefault="00143F73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---------------------------------</w:t>
      </w:r>
    </w:p>
    <w:p w:rsidR="00000000" w:rsidRDefault="00143F73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הוגשה ליו"ר הכנסת והסגנים</w:t>
      </w:r>
    </w:p>
    <w:p w:rsidR="00000000" w:rsidRDefault="00143F73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והונחה על שולחן הכנסת ביום</w:t>
      </w:r>
    </w:p>
    <w:p w:rsidR="00000000" w:rsidRDefault="00143F73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  <w:rtl/>
        </w:rPr>
      </w:pPr>
      <w:r>
        <w:rPr>
          <w:rFonts w:cs="David"/>
          <w:b w:val="0"/>
          <w:bCs w:val="0"/>
          <w:sz w:val="26"/>
          <w:szCs w:val="26"/>
          <w:u w:val="none"/>
          <w:rtl/>
        </w:rPr>
        <w:t>כ"א בתמוז התשס"ו – 17.7.06</w:t>
      </w:r>
    </w:p>
    <w:p w:rsidR="00000000" w:rsidRDefault="00143F73">
      <w:pPr>
        <w:pStyle w:val="a3"/>
        <w:spacing w:line="360" w:lineRule="auto"/>
        <w:jc w:val="left"/>
        <w:rPr>
          <w:rFonts w:cs="David"/>
          <w:b w:val="0"/>
          <w:bCs w:val="0"/>
          <w:sz w:val="26"/>
          <w:szCs w:val="26"/>
          <w:u w:val="none"/>
        </w:rPr>
      </w:pP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43F73">
      <w:r>
        <w:separator/>
      </w:r>
    </w:p>
  </w:endnote>
  <w:endnote w:type="continuationSeparator" w:id="0">
    <w:p w:rsidR="00000000" w:rsidRDefault="00143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43F73">
      <w:r>
        <w:separator/>
      </w:r>
    </w:p>
  </w:footnote>
  <w:footnote w:type="continuationSeparator" w:id="0">
    <w:p w:rsidR="00000000" w:rsidRDefault="00143F73">
      <w:r>
        <w:continuationSeparator/>
      </w:r>
    </w:p>
  </w:footnote>
  <w:footnote w:id="1">
    <w:p w:rsidR="00000000" w:rsidRDefault="00143F73">
      <w:pPr>
        <w:pStyle w:val="a8"/>
      </w:pPr>
      <w:r>
        <w:rPr>
          <w:rStyle w:val="aa"/>
          <w:rFonts w:cs="David"/>
        </w:rPr>
        <w:footnoteRef/>
      </w:r>
      <w:r>
        <w:rPr>
          <w:rFonts w:cs="David"/>
        </w:rPr>
        <w:t xml:space="preserve"> </w:t>
      </w:r>
      <w:r>
        <w:rPr>
          <w:rFonts w:cs="David"/>
          <w:rtl/>
        </w:rPr>
        <w:t>ס"ח התשמ"ח, עמ' 38.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143F73">
    <w:pPr>
      <w:pStyle w:val="a5"/>
      <w:framePr w:wrap="auto" w:vAnchor="text" w:hAnchor="margin" w:xAlign="center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2</w:t>
    </w:r>
    <w:r>
      <w:rPr>
        <w:rStyle w:val="a7"/>
      </w:rPr>
      <w:fldChar w:fldCharType="end"/>
    </w:r>
  </w:p>
  <w:p w:rsidR="00000000" w:rsidRDefault="00143F73">
    <w:pPr>
      <w:pStyle w:val="a5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37909æáåìåï àåøìá - ùååéåï ääæãîðéåú áòáåãä - æëåéåú äåøä.doc"/>
    <w:docVar w:name="StartMode" w:val="2"/>
  </w:docVars>
  <w:rsids>
    <w:rsidRoot w:val="00143F73"/>
    <w:rsid w:val="0014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b/>
      <w:bCs/>
      <w:sz w:val="28"/>
      <w:szCs w:val="28"/>
      <w:u w:val="single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footnote text"/>
    <w:basedOn w:val="a"/>
    <w:link w:val="a9"/>
    <w:uiPriority w:val="99"/>
    <w:rPr>
      <w:sz w:val="20"/>
      <w:szCs w:val="20"/>
    </w:rPr>
  </w:style>
  <w:style w:type="character" w:customStyle="1" w:styleId="a9">
    <w:name w:val="טקסט הערת שוליים תו"/>
    <w:basedOn w:val="a0"/>
    <w:link w:val="a8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a">
    <w:name w:val="footnote reference"/>
    <w:basedOn w:val="a0"/>
    <w:uiPriority w:val="9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858</Characters>
  <Application>Microsoft Office Word</Application>
  <DocSecurity>0</DocSecurity>
  <Lines>7</Lines>
  <Paragraphs>2</Paragraphs>
  <ScaleCrop>false</ScaleCrop>
  <Company>knesset</Company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שוויון ההזדמנויות בעבודה (תיקון - זכויות הורה), התשס"ו-2006</dc:title>
  <dc:subject/>
  <dc:creator>Knesset</dc:creator>
  <cp:keywords/>
  <dc:description/>
  <cp:lastModifiedBy>שמואל כוכב</cp:lastModifiedBy>
  <cp:revision>2</cp:revision>
  <cp:lastPrinted>2006-07-13T13:27:00Z</cp:lastPrinted>
  <dcterms:created xsi:type="dcterms:W3CDTF">2015-02-03T16:42:00Z</dcterms:created>
  <dcterms:modified xsi:type="dcterms:W3CDTF">2015-02-03T16:42:00Z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129</vt:i4>
  </property>
  <property fmtid="{D5CDD505-2E9C-101B-9397-08002B2CF9AE}" pid="3" name="Nose">
    <vt:lpwstr>':הלשכה המשפטית:חקיקה - נוסח:1.טיוטה לטרומית'_x000d__x000d_</vt:lpwstr>
  </property>
  <property fmtid="{D5CDD505-2E9C-101B-9397-08002B2CF9AE}" pid="4" name="Tizkoret">
    <vt:lpwstr/>
  </property>
  <property fmtid="{D5CDD505-2E9C-101B-9397-08002B2CF9AE}" pid="5" name="YozemHatzaa_ChakList">
    <vt:lpwstr>זבולון אורלב</vt:lpwstr>
  </property>
  <property fmtid="{D5CDD505-2E9C-101B-9397-08002B2CF9AE}" pid="6" name="סימוכין">
    <vt:i4>4583105</vt:i4>
  </property>
  <property fmtid="{D5CDD505-2E9C-101B-9397-08002B2CF9AE}" pid="7" name="תאריך המסמך">
    <vt:filetime>2005-03-03T22:00:00Z</vt:filetime>
  </property>
  <property fmtid="{D5CDD505-2E9C-101B-9397-08002B2CF9AE}" pid="8" name="CodeProfile">
    <vt:lpwstr>85</vt:lpwstr>
  </property>
  <property fmtid="{D5CDD505-2E9C-101B-9397-08002B2CF9AE}" pid="9" name="AutoNumber">
    <vt:lpwstr>03932106</vt:lpwstr>
  </property>
  <property fmtid="{D5CDD505-2E9C-101B-9397-08002B2CF9AE}" pid="10" name="מספר הצעת חוק למיון">
    <vt:lpwstr>1196</vt:lpwstr>
  </property>
  <property fmtid="{D5CDD505-2E9C-101B-9397-08002B2CF9AE}" pid="11" name="SDDocDate">
    <vt:lpwstr>2006-07-13T00:00:00Z</vt:lpwstr>
  </property>
  <property fmtid="{D5CDD505-2E9C-101B-9397-08002B2CF9AE}" pid="12" name="SDHebDate">
    <vt:lpwstr>י"ז בתמוז, התשס"ו</vt:lpwstr>
  </property>
  <property fmtid="{D5CDD505-2E9C-101B-9397-08002B2CF9AE}" pid="13" name="SDCategories">
    <vt:lpwstr>:דף הבית:נושאים:חקיקה:נוסח לדיון מוקדם;#:הלשכה המשפטית:הצעות חוק - כנסת 17;#</vt:lpwstr>
  </property>
  <property fmtid="{D5CDD505-2E9C-101B-9397-08002B2CF9AE}" pid="14" name="תאריך הנחה">
    <vt:lpwstr/>
  </property>
  <property fmtid="{D5CDD505-2E9C-101B-9397-08002B2CF9AE}" pid="15" name="HebrewDate">
    <vt:lpwstr/>
  </property>
  <property fmtid="{D5CDD505-2E9C-101B-9397-08002B2CF9AE}" pid="16" name="SDAuthor">
    <vt:lpwstr>כוכי שבתאי</vt:lpwstr>
  </property>
  <property fmtid="{D5CDD505-2E9C-101B-9397-08002B2CF9AE}" pid="17" name="MechaberMismach">
    <vt:lpwstr/>
  </property>
  <property fmtid="{D5CDD505-2E9C-101B-9397-08002B2CF9AE}" pid="18" name="MisHatzaatChok">
    <vt:lpwstr>פ/1196/17</vt:lpwstr>
  </property>
  <property fmtid="{D5CDD505-2E9C-101B-9397-08002B2CF9AE}" pid="19" name="SDRemark">
    <vt:lpwstr/>
  </property>
  <property fmtid="{D5CDD505-2E9C-101B-9397-08002B2CF9AE}" pid="20" name="SDOfflineTo">
    <vt:lpwstr/>
  </property>
  <property fmtid="{D5CDD505-2E9C-101B-9397-08002B2CF9AE}" pid="21" name="SDDistList">
    <vt:lpwstr/>
  </property>
  <property fmtid="{D5CDD505-2E9C-101B-9397-08002B2CF9AE}" pid="22" name="SDDistDate">
    <vt:lpwstr/>
  </property>
  <property fmtid="{D5CDD505-2E9C-101B-9397-08002B2CF9AE}" pid="23" name="SDOriginalID">
    <vt:lpwstr/>
  </property>
  <property fmtid="{D5CDD505-2E9C-101B-9397-08002B2CF9AE}" pid="24" name="SDSenderName">
    <vt:lpwstr/>
  </property>
  <property fmtid="{D5CDD505-2E9C-101B-9397-08002B2CF9AE}" pid="25" name="SDToList">
    <vt:lpwstr/>
  </property>
  <property fmtid="{D5CDD505-2E9C-101B-9397-08002B2CF9AE}" pid="26" name="SDCCList">
    <vt:lpwstr/>
  </property>
  <property fmtid="{D5CDD505-2E9C-101B-9397-08002B2CF9AE}" pid="27" name="STHasReminders">
    <vt:lpwstr>0</vt:lpwstr>
  </property>
  <property fmtid="{D5CDD505-2E9C-101B-9397-08002B2CF9AE}" pid="28" name="SDLink">
    <vt:lpwstr>, </vt:lpwstr>
  </property>
  <property fmtid="{D5CDD505-2E9C-101B-9397-08002B2CF9AE}" pid="29" name="Num_Gim1">
    <vt:lpwstr/>
  </property>
  <property fmtid="{D5CDD505-2E9C-101B-9397-08002B2CF9AE}" pid="30" name="NoseA">
    <vt:lpwstr/>
  </property>
  <property fmtid="{D5CDD505-2E9C-101B-9397-08002B2CF9AE}" pid="31" name="NoseB">
    <vt:lpwstr/>
  </property>
  <property fmtid="{D5CDD505-2E9C-101B-9397-08002B2CF9AE}" pid="32" name="knesset_number">
    <vt:lpwstr/>
  </property>
  <property fmtid="{D5CDD505-2E9C-101B-9397-08002B2CF9AE}" pid="33" name="ValidFrom">
    <vt:lpwstr/>
  </property>
  <property fmtid="{D5CDD505-2E9C-101B-9397-08002B2CF9AE}" pid="34" name="ValidUntill">
    <vt:lpwstr/>
  </property>
  <property fmtid="{D5CDD505-2E9C-101B-9397-08002B2CF9AE}" pid="35" name="To1">
    <vt:lpwstr/>
  </property>
  <property fmtid="{D5CDD505-2E9C-101B-9397-08002B2CF9AE}" pid="36" name="From">
    <vt:lpwstr/>
  </property>
  <property fmtid="{D5CDD505-2E9C-101B-9397-08002B2CF9AE}" pid="37" name="body">
    <vt:lpwstr/>
  </property>
</Properties>
</file>