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E4DA7">
      <w:pPr>
        <w:pStyle w:val="af1"/>
        <w:spacing w:line="360" w:lineRule="auto"/>
        <w:rPr>
          <w:rFonts w:cs="David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6E4DA7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88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E4DA7">
            <w:pPr>
              <w:tabs>
                <w:tab w:val="left" w:pos="2770"/>
                <w:tab w:val="left" w:pos="6192"/>
              </w:tabs>
              <w:spacing w:after="120"/>
              <w:ind w:firstLine="11"/>
              <w:jc w:val="right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 הכנסת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 </w:t>
            </w:r>
            <w:bookmarkStart w:id="2" w:name="MKs"/>
            <w:r>
              <w:rPr>
                <w:rFonts w:cs="David"/>
                <w:b/>
                <w:bCs/>
                <w:sz w:val="26"/>
                <w:szCs w:val="26"/>
                <w:rtl/>
              </w:rPr>
              <w:t>מגלי והבה</w:t>
            </w:r>
            <w:bookmarkEnd w:id="2"/>
          </w:p>
        </w:tc>
      </w:tr>
    </w:tbl>
    <w:p w:rsidR="00000000" w:rsidRDefault="006E4DA7">
      <w:pPr>
        <w:spacing w:line="360" w:lineRule="auto"/>
        <w:jc w:val="center"/>
        <w:rPr>
          <w:rFonts w:cs="David"/>
          <w:b/>
          <w:bCs/>
          <w:sz w:val="32"/>
          <w:szCs w:val="32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                          </w:t>
      </w:r>
      <w:r>
        <w:rPr>
          <w:rFonts w:cs="David"/>
          <w:b/>
          <w:bCs/>
          <w:sz w:val="26"/>
          <w:szCs w:val="26"/>
          <w:rtl/>
        </w:rPr>
        <w:t>פ/1898/17</w:t>
      </w:r>
      <w:r>
        <w:rPr>
          <w:rFonts w:cs="David"/>
          <w:b/>
          <w:bCs/>
          <w:sz w:val="26"/>
          <w:szCs w:val="26"/>
          <w:rtl/>
        </w:rPr>
        <w:tab/>
      </w:r>
    </w:p>
    <w:p w:rsidR="00000000" w:rsidRDefault="006E4DA7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6E4DA7">
      <w:pPr>
        <w:pStyle w:val="HeadHatzaotHok"/>
        <w:rPr>
          <w:rFonts w:cs="David"/>
          <w:sz w:val="26"/>
          <w:rtl/>
        </w:rPr>
      </w:pPr>
      <w:bookmarkStart w:id="3" w:name="Title"/>
      <w:r>
        <w:rPr>
          <w:rFonts w:cs="David"/>
          <w:sz w:val="26"/>
          <w:rtl/>
        </w:rPr>
        <w:t xml:space="preserve">הצעת חוק סדר הדין הפלילי (תיקון - ביטול דיון ההקראה בעבירות קלות), התשס"ז-2007   </w:t>
      </w:r>
      <w:bookmarkEnd w:id="3"/>
    </w:p>
    <w:p w:rsidR="00000000" w:rsidRDefault="006E4DA7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tbl>
      <w:tblPr>
        <w:bidiVisual/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8"/>
        <w:gridCol w:w="7"/>
        <w:gridCol w:w="533"/>
        <w:gridCol w:w="540"/>
        <w:gridCol w:w="27"/>
        <w:gridCol w:w="15"/>
        <w:gridCol w:w="678"/>
        <w:gridCol w:w="545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SideHeading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תיקון סעיף 240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Text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1.</w:t>
            </w:r>
          </w:p>
        </w:tc>
        <w:tc>
          <w:tcPr>
            <w:tcW w:w="6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בחוק סדר הדין הפלילי [נוסח משולב], הת</w:t>
            </w:r>
            <w:r>
              <w:rPr>
                <w:rFonts w:cs="David"/>
                <w:sz w:val="26"/>
                <w:rtl/>
              </w:rPr>
              <w:t>שמ"ב-1982</w:t>
            </w:r>
            <w:r>
              <w:rPr>
                <w:rStyle w:val="ab"/>
                <w:rFonts w:cs="David"/>
                <w:sz w:val="26"/>
                <w:rtl/>
              </w:rPr>
              <w:footnoteReference w:id="1"/>
            </w:r>
            <w:r>
              <w:rPr>
                <w:rFonts w:cs="David"/>
                <w:sz w:val="26"/>
                <w:rtl/>
              </w:rPr>
              <w:t>, (להלן – החוק העיקרי), בסעיף 240 (א):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SideHeading"/>
              <w:rPr>
                <w:rFonts w:cs="David"/>
                <w:sz w:val="26"/>
                <w:rtl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Text"/>
              <w:rPr>
                <w:rFonts w:cs="David"/>
                <w:sz w:val="26"/>
                <w:rtl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(1)</w:t>
            </w:r>
          </w:p>
        </w:tc>
        <w:tc>
          <w:tcPr>
            <w:tcW w:w="6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במקום פסקה (1) יבוא: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SideHeading"/>
              <w:rPr>
                <w:rFonts w:cs="David"/>
                <w:sz w:val="26"/>
                <w:rtl/>
              </w:rPr>
            </w:pPr>
          </w:p>
          <w:p w:rsidR="00000000" w:rsidRDefault="006E4DA7">
            <w:pPr>
              <w:pStyle w:val="TableSideHeading"/>
              <w:rPr>
                <w:rFonts w:cs="David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Text"/>
              <w:rPr>
                <w:rFonts w:cs="David"/>
                <w:sz w:val="26"/>
                <w:rtl/>
              </w:rPr>
            </w:pPr>
          </w:p>
          <w:p w:rsidR="00000000" w:rsidRDefault="006E4DA7">
            <w:pPr>
              <w:pStyle w:val="TableText"/>
              <w:rPr>
                <w:rFonts w:cs="David"/>
                <w:sz w:val="26"/>
                <w:rtl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  <w:sz w:val="26"/>
                <w:rtl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  <w:sz w:val="26"/>
                <w:rtl/>
              </w:rPr>
            </w:pPr>
            <w:r>
              <w:rPr>
                <w:rFonts w:cs="David"/>
                <w:sz w:val="26"/>
                <w:rtl/>
              </w:rPr>
              <w:t>"(1)</w:t>
            </w:r>
          </w:p>
          <w:p w:rsidR="00000000" w:rsidRDefault="006E4DA7">
            <w:pPr>
              <w:pStyle w:val="TableBlock"/>
              <w:rPr>
                <w:rFonts w:cs="David"/>
                <w:sz w:val="26"/>
                <w:rtl/>
              </w:rPr>
            </w:pP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(א)</w:t>
            </w:r>
            <w:r>
              <w:rPr>
                <w:rFonts w:cs="David"/>
                <w:sz w:val="26"/>
                <w:rtl/>
              </w:rPr>
              <w:tab/>
              <w:t>בעבירות המנויות בסעיף זה, לא תתקיים ישיבת הקראה בבית המשפט, וזימונו של הנאשם לבית המשפט, לראשונה, יהיה לצורך ישיבת הוכחות;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SideHeading"/>
              <w:rPr>
                <w:rFonts w:cs="David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Text"/>
              <w:rPr>
                <w:rFonts w:cs="David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(ב)</w:t>
            </w:r>
            <w:r>
              <w:rPr>
                <w:rFonts w:cs="David"/>
                <w:sz w:val="26"/>
                <w:rtl/>
              </w:rPr>
              <w:tab/>
              <w:t>נאשם בעבי</w:t>
            </w:r>
            <w:r>
              <w:rPr>
                <w:rFonts w:cs="David"/>
                <w:sz w:val="26"/>
                <w:rtl/>
              </w:rPr>
              <w:t>רות המנויות לפי סעיף זה יודיע לבית המשפט בכתב, עד לתאריך שצויין בהזמנתו לדין, האם הוא מודה בעובדות המצוינות בכתב האישום או כופר בהן."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SideHeading"/>
              <w:rPr>
                <w:rFonts w:cs="David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Text"/>
              <w:rPr>
                <w:rFonts w:cs="David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(2)</w:t>
            </w:r>
          </w:p>
        </w:tc>
        <w:tc>
          <w:tcPr>
            <w:tcW w:w="61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6E4DA7">
            <w:pPr>
              <w:pStyle w:val="TableBlock"/>
              <w:rPr>
                <w:rFonts w:cs="David"/>
              </w:rPr>
            </w:pPr>
            <w:r>
              <w:rPr>
                <w:rFonts w:cs="David"/>
                <w:sz w:val="26"/>
                <w:rtl/>
              </w:rPr>
              <w:t>בפסקה (2), לאחר המילים "או בהמשכו" יבוא "ולא העביר לבית המשפט הודעה בכתב כמפורט בסעיף קטן (1)(ב) לעיל".</w:t>
            </w:r>
          </w:p>
        </w:tc>
      </w:tr>
    </w:tbl>
    <w:p w:rsidR="00000000" w:rsidRDefault="006E4DA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E4DA7">
      <w:pPr>
        <w:pStyle w:val="HeadDivreiHesber"/>
        <w:rPr>
          <w:rFonts w:cs="David"/>
          <w:sz w:val="26"/>
          <w:rtl/>
        </w:rPr>
      </w:pPr>
      <w:r>
        <w:rPr>
          <w:rFonts w:cs="David"/>
          <w:sz w:val="26"/>
          <w:rtl/>
        </w:rPr>
        <w:t>דברי – הס</w:t>
      </w:r>
      <w:r>
        <w:rPr>
          <w:rFonts w:cs="David"/>
          <w:sz w:val="26"/>
          <w:rtl/>
        </w:rPr>
        <w:t>בר</w:t>
      </w:r>
    </w:p>
    <w:p w:rsidR="00000000" w:rsidRDefault="006E4DA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זימונו של נאשם במשפט תעבורה לישיבת הקראה בנפרד מישיבת ההוכחות, הינו "טרטור" מיותר המכביד על האזרח שלא לצורך.</w:t>
      </w:r>
    </w:p>
    <w:p w:rsidR="00000000" w:rsidRDefault="006E4DA7">
      <w:pPr>
        <w:pStyle w:val="Hesber1st"/>
        <w:rPr>
          <w:rFonts w:cs="David"/>
          <w:sz w:val="26"/>
          <w:rtl/>
        </w:rPr>
      </w:pP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לאחר שהנושא עלה בבתי המשפט מספר פעמים, התבטא בית המשפט בעניין כדלקמן: "ראוי שהמחוקק יתן דעתו לבעיה. נראה כי יש לאפשר לנאשם בעבירות המנויות בסע</w:t>
      </w:r>
      <w:r>
        <w:rPr>
          <w:rFonts w:cs="David"/>
          <w:sz w:val="26"/>
          <w:rtl/>
        </w:rPr>
        <w:t>יף 240 לחוק סדר הדין הפלילי לכפור בעובדות בכתב, ולזמן את הנאשם לישיבת הוכחות ללא זימון להקראה, ועל המחוקק המלאכה לעשותה" (רע"פ 1138/00, שי ורנר נ' מד"י).</w:t>
      </w:r>
    </w:p>
    <w:p w:rsidR="00000000" w:rsidRDefault="006E4DA7">
      <w:pPr>
        <w:pStyle w:val="Hesber1st"/>
        <w:rPr>
          <w:rFonts w:cs="David"/>
          <w:sz w:val="26"/>
          <w:rtl/>
        </w:rPr>
      </w:pP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 xml:space="preserve">לאור התועלת הרבה שבדבר, וודאי על רקע הגיבוי לעניין מצד בית המשפט העליון, </w:t>
      </w:r>
      <w:r>
        <w:rPr>
          <w:rFonts w:cs="David"/>
          <w:sz w:val="26"/>
          <w:rtl/>
        </w:rPr>
        <w:lastRenderedPageBreak/>
        <w:t>מבקשת הצעת החוק להמיר את דיו</w:t>
      </w:r>
      <w:r>
        <w:rPr>
          <w:rFonts w:cs="David"/>
          <w:sz w:val="26"/>
          <w:rtl/>
        </w:rPr>
        <w:t>ן ההקראה בעבירות המנויות בסעיף 240 לחוק סדר הדין הפלילי, בהודעה בכתב מאת הנאשם, לבית המשפט.</w:t>
      </w:r>
    </w:p>
    <w:p w:rsidR="00000000" w:rsidRDefault="006E4DA7">
      <w:pPr>
        <w:pStyle w:val="Hesber1st"/>
        <w:rPr>
          <w:rFonts w:cs="David"/>
          <w:sz w:val="26"/>
        </w:rPr>
      </w:pP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הצעת חוק זהה הונחה על שולחן הכנסת השש-עשרה על ידי חבר הכנסת מגלי והבה וקבוצת חברי הכנסת (פ/2313).</w:t>
      </w:r>
    </w:p>
    <w:p w:rsidR="00000000" w:rsidRDefault="006E4DA7">
      <w:pPr>
        <w:pStyle w:val="Hesber1st"/>
        <w:rPr>
          <w:rFonts w:cs="David"/>
          <w:sz w:val="26"/>
          <w:rtl/>
        </w:rPr>
      </w:pPr>
    </w:p>
    <w:p w:rsidR="00000000" w:rsidRDefault="006E4DA7">
      <w:pPr>
        <w:rPr>
          <w:rFonts w:cs="David"/>
          <w:rtl/>
        </w:rPr>
      </w:pP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---------------------------------</w:t>
      </w: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הוגשה ליו"ר הכנסת והסגנים</w:t>
      </w: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והו</w:t>
      </w:r>
      <w:r>
        <w:rPr>
          <w:rFonts w:cs="David"/>
          <w:sz w:val="26"/>
          <w:rtl/>
        </w:rPr>
        <w:t>נחה על שולחן הכנסת ביום</w:t>
      </w:r>
    </w:p>
    <w:p w:rsidR="00000000" w:rsidRDefault="006E4DA7">
      <w:pPr>
        <w:pStyle w:val="Hesber1st"/>
        <w:rPr>
          <w:rFonts w:cs="David"/>
          <w:sz w:val="26"/>
          <w:rtl/>
        </w:rPr>
      </w:pPr>
      <w:r>
        <w:rPr>
          <w:rFonts w:cs="David"/>
          <w:sz w:val="26"/>
          <w:rtl/>
        </w:rPr>
        <w:t>י"א בטבת התשס"ז – 1.1.07</w:t>
      </w:r>
    </w:p>
    <w:p w:rsidR="00000000" w:rsidRDefault="006E4DA7">
      <w:pPr>
        <w:rPr>
          <w:rFonts w:cs="David"/>
          <w:rtl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4DA7">
      <w:r>
        <w:separator/>
      </w:r>
    </w:p>
  </w:endnote>
  <w:endnote w:type="continuationSeparator" w:id="0">
    <w:p w:rsidR="00000000" w:rsidRDefault="006E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E4DA7">
      <w:r>
        <w:separator/>
      </w:r>
    </w:p>
  </w:footnote>
  <w:footnote w:type="continuationSeparator" w:id="0">
    <w:p w:rsidR="00000000" w:rsidRDefault="006E4DA7">
      <w:r>
        <w:continuationSeparator/>
      </w:r>
    </w:p>
  </w:footnote>
  <w:footnote w:id="1">
    <w:p w:rsidR="00000000" w:rsidRDefault="006E4DA7">
      <w:pPr>
        <w:pStyle w:val="ac"/>
      </w:pPr>
      <w:r>
        <w:rPr>
          <w:rStyle w:val="ab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sz w:val="20"/>
          <w:rtl/>
        </w:rPr>
        <w:t>ס"ח התשמ"ב, עמ' 43.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E4DA7">
    <w:pPr>
      <w:pStyle w:val="ae"/>
      <w:framePr w:wrap="auto" w:vAnchor="text" w:hAnchor="margin" w:xAlign="center" w:y="1"/>
      <w:rPr>
        <w:rStyle w:val="af0"/>
        <w:rtl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  <w:rtl/>
      </w:rPr>
      <w:t>2</w:t>
    </w:r>
    <w:r>
      <w:rPr>
        <w:rStyle w:val="af0"/>
      </w:rPr>
      <w:fldChar w:fldCharType="end"/>
    </w:r>
  </w:p>
  <w:p w:rsidR="00000000" w:rsidRDefault="006E4DA7">
    <w:pPr>
      <w:pStyle w:val="ae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45246îâìé åäáä - ãéåï ää÷øàä áòáéøåú ÷ìåú îòåãëï.doc"/>
    <w:docVar w:name="StartMode" w:val="2"/>
  </w:docVars>
  <w:rsids>
    <w:rsidRoot w:val="006E4DA7"/>
    <w:rsid w:val="006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page number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/>
      <w:b/>
      <w:bCs/>
      <w:sz w:val="26"/>
      <w:szCs w:val="26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styleId="a3">
    <w:name w:val="annotation reference"/>
    <w:basedOn w:val="a0"/>
    <w:uiPriority w:val="99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rPr>
      <w:sz w:val="20"/>
      <w:szCs w:val="20"/>
    </w:rPr>
  </w:style>
  <w:style w:type="character" w:customStyle="1" w:styleId="a5">
    <w:name w:val="טקסט הערה תו"/>
    <w:basedOn w:val="a0"/>
    <w:link w:val="a4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Cover1-Reshumot">
    <w:name w:val="Cover 1-Reshumot"/>
    <w:basedOn w:val="a"/>
    <w:uiPriority w:val="99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uiPriority w:val="99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Pr>
      <w:b/>
      <w:bCs/>
      <w:spacing w:val="60"/>
    </w:rPr>
  </w:style>
  <w:style w:type="paragraph" w:customStyle="1" w:styleId="Cover4-Date">
    <w:name w:val="Cover 4-Date"/>
    <w:basedOn w:val="a"/>
    <w:uiPriority w:val="99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character" w:styleId="a6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Ragil">
    <w:name w:val="Ragil"/>
    <w:basedOn w:val="a"/>
    <w:uiPriority w:val="99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paragraph" w:styleId="a7">
    <w:name w:val="endnote text"/>
    <w:basedOn w:val="Ragil"/>
    <w:link w:val="a8"/>
    <w:uiPriority w:val="99"/>
    <w:pPr>
      <w:ind w:left="227" w:hanging="227"/>
    </w:pPr>
    <w:rPr>
      <w:sz w:val="14"/>
      <w:szCs w:val="22"/>
    </w:rPr>
  </w:style>
  <w:style w:type="character" w:customStyle="1" w:styleId="a8">
    <w:name w:val="טקסט הערת סיום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כותרת תחתונה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footnote reference"/>
    <w:basedOn w:val="a0"/>
    <w:uiPriority w:val="99"/>
    <w:rPr>
      <w:rFonts w:cs="Times New Roman"/>
      <w:vertAlign w:val="superscript"/>
    </w:rPr>
  </w:style>
  <w:style w:type="paragraph" w:styleId="ac">
    <w:name w:val="footnote text"/>
    <w:basedOn w:val="Ragil"/>
    <w:link w:val="ad"/>
    <w:autoRedefine/>
    <w:uiPriority w:val="99"/>
    <w:pPr>
      <w:spacing w:line="240" w:lineRule="auto"/>
      <w:ind w:left="227" w:hanging="227"/>
    </w:pPr>
    <w:rPr>
      <w:sz w:val="14"/>
      <w:szCs w:val="20"/>
    </w:rPr>
  </w:style>
  <w:style w:type="character" w:customStyle="1" w:styleId="ad">
    <w:name w:val="טקסט הערת שוליים תו"/>
    <w:basedOn w:val="a0"/>
    <w:link w:val="ac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HeadDivreiHesber">
    <w:name w:val="Head DivreiHesber"/>
    <w:basedOn w:val="Ragil"/>
    <w:uiPriority w:val="99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uiPriority w:val="9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Arial Unicode MS"/>
      <w:b/>
      <w:bCs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uiPriority w:val="99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Arial Unicode MS"/>
      <w:b/>
      <w:bCs/>
      <w:color w:val="000000"/>
      <w:sz w:val="20"/>
      <w:szCs w:val="26"/>
      <w:lang w:eastAsia="ja-JP"/>
    </w:rPr>
  </w:style>
  <w:style w:type="paragraph" w:styleId="ae">
    <w:name w:val="header"/>
    <w:basedOn w:val="a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כותרת עליונה תו"/>
    <w:basedOn w:val="a0"/>
    <w:link w:val="ae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Hesber">
    <w:name w:val="Hesber"/>
    <w:basedOn w:val="Ragil"/>
    <w:uiPriority w:val="99"/>
    <w:pPr>
      <w:jc w:val="both"/>
    </w:pPr>
  </w:style>
  <w:style w:type="paragraph" w:customStyle="1" w:styleId="Hesber1st">
    <w:name w:val="Hesber 1st"/>
    <w:basedOn w:val="Hesber"/>
    <w:uiPriority w:val="99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uiPriority w:val="99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basedOn w:val="a0"/>
    <w:uiPriority w:val="99"/>
    <w:rPr>
      <w:rFonts w:cs="Times New Roman"/>
      <w:color w:val="0000FF"/>
      <w:u w:val="single"/>
    </w:rPr>
  </w:style>
  <w:style w:type="character" w:styleId="af0">
    <w:name w:val="page number"/>
    <w:basedOn w:val="a0"/>
    <w:uiPriority w:val="99"/>
    <w:rPr>
      <w:rFonts w:cs="Times New Roman"/>
    </w:rPr>
  </w:style>
  <w:style w:type="paragraph" w:customStyle="1" w:styleId="TableText">
    <w:name w:val="Table Text"/>
    <w:basedOn w:val="Ragil"/>
    <w:uiPriority w:val="99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uiPriority w:val="99"/>
    <w:pPr>
      <w:ind w:right="0"/>
      <w:jc w:val="both"/>
    </w:pPr>
  </w:style>
  <w:style w:type="paragraph" w:customStyle="1" w:styleId="TableBlockOutdent">
    <w:name w:val="Table BlockOutdent"/>
    <w:basedOn w:val="TableBlock"/>
    <w:uiPriority w:val="99"/>
    <w:pPr>
      <w:ind w:left="624" w:hanging="624"/>
    </w:pPr>
  </w:style>
  <w:style w:type="paragraph" w:customStyle="1" w:styleId="TableHead">
    <w:name w:val="Table Head"/>
    <w:basedOn w:val="TableText"/>
    <w:uiPriority w:val="9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uiPriority w:val="99"/>
  </w:style>
  <w:style w:type="paragraph" w:customStyle="1" w:styleId="TableInnerSideHeading">
    <w:name w:val="Table InnerSideHeading"/>
    <w:basedOn w:val="TableSideHeading"/>
    <w:uiPriority w:val="99"/>
  </w:style>
  <w:style w:type="paragraph" w:customStyle="1" w:styleId="TableText2">
    <w:name w:val="Table Text2"/>
    <w:basedOn w:val="TableText"/>
    <w:uiPriority w:val="99"/>
  </w:style>
  <w:style w:type="paragraph" w:styleId="af1">
    <w:name w:val="Title"/>
    <w:basedOn w:val="a"/>
    <w:link w:val="af2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f2">
    <w:name w:val="כותרת טקסט תו"/>
    <w:basedOn w:val="a0"/>
    <w:link w:val="af1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customStyle="1" w:styleId="TOC">
    <w:name w:val="TOC"/>
    <w:basedOn w:val="a"/>
    <w:uiPriority w:val="99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uiPriority w:val="99"/>
    <w:pPr>
      <w:spacing w:after="120"/>
      <w:ind w:right="567"/>
      <w:jc w:val="right"/>
    </w:pPr>
  </w:style>
  <w:style w:type="paragraph" w:styleId="af3">
    <w:name w:val="Body Text"/>
    <w:basedOn w:val="a"/>
    <w:link w:val="af4"/>
    <w:uiPriority w:val="99"/>
    <w:pPr>
      <w:jc w:val="both"/>
    </w:pPr>
    <w:rPr>
      <w:sz w:val="26"/>
      <w:szCs w:val="26"/>
    </w:rPr>
  </w:style>
  <w:style w:type="character" w:customStyle="1" w:styleId="af4">
    <w:name w:val="גוף טקסט תו"/>
    <w:basedOn w:val="a0"/>
    <w:link w:val="af3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1288</Characters>
  <Application>Microsoft Office Word</Application>
  <DocSecurity>0</DocSecurity>
  <Lines>10</Lines>
  <Paragraphs>3</Paragraphs>
  <ScaleCrop>false</ScaleCrop>
  <Company>knesset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סדר הדין הפלילי (תיקון - ביטול דיון הקראה בעבירות קלות), התשס"ז-2006</dc:title>
  <dc:subject/>
  <dc:creator>Knesset</dc:creator>
  <cp:keywords/>
  <dc:description/>
  <cp:lastModifiedBy>שמואל כוכב</cp:lastModifiedBy>
  <cp:revision>2</cp:revision>
  <dcterms:created xsi:type="dcterms:W3CDTF">2015-02-03T17:14:00Z</dcterms:created>
  <dcterms:modified xsi:type="dcterms:W3CDTF">2015-02-03T17:14:00Z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85</vt:lpwstr>
  </property>
  <property fmtid="{D5CDD505-2E9C-101B-9397-08002B2CF9AE}" pid="3" name="AutoNumber">
    <vt:lpwstr>06381006</vt:lpwstr>
  </property>
  <property fmtid="{D5CDD505-2E9C-101B-9397-08002B2CF9AE}" pid="4" name="מספר הצעת חוק למיון">
    <vt:lpwstr>1898</vt:lpwstr>
  </property>
  <property fmtid="{D5CDD505-2E9C-101B-9397-08002B2CF9AE}" pid="5" name="SDDocDate">
    <vt:lpwstr>2006-12-31T00:00:00Z</vt:lpwstr>
  </property>
  <property fmtid="{D5CDD505-2E9C-101B-9397-08002B2CF9AE}" pid="6" name="SDHebDate">
    <vt:lpwstr>י' בטבת, התשס"ז</vt:lpwstr>
  </property>
  <property fmtid="{D5CDD505-2E9C-101B-9397-08002B2CF9AE}" pid="7" name="SDCategories">
    <vt:lpwstr>:דף הבית:נושאים:חקיקה:נוסח לדיון מוקדם;#</vt:lpwstr>
  </property>
  <property fmtid="{D5CDD505-2E9C-101B-9397-08002B2CF9AE}" pid="8" name="תאריך הנחה">
    <vt:lpwstr/>
  </property>
  <property fmtid="{D5CDD505-2E9C-101B-9397-08002B2CF9AE}" pid="9" name="Vaada">
    <vt:lpwstr/>
  </property>
  <property fmtid="{D5CDD505-2E9C-101B-9397-08002B2CF9AE}" pid="10" name="HebrewDate">
    <vt:lpwstr/>
  </property>
  <property fmtid="{D5CDD505-2E9C-101B-9397-08002B2CF9AE}" pid="11" name="SDAuthor">
    <vt:lpwstr>עדי טייכר</vt:lpwstr>
  </property>
  <property fmtid="{D5CDD505-2E9C-101B-9397-08002B2CF9AE}" pid="12" name="MechaberMismach">
    <vt:lpwstr/>
  </property>
  <property fmtid="{D5CDD505-2E9C-101B-9397-08002B2CF9AE}" pid="13" name="MisHatzaatChok">
    <vt:lpwstr>פ/1898/17</vt:lpwstr>
  </property>
  <property fmtid="{D5CDD505-2E9C-101B-9397-08002B2CF9AE}" pid="14" name="YozemHatzaa_ChakList">
    <vt:lpwstr>מגלי והבה</vt:lpwstr>
  </property>
  <property fmtid="{D5CDD505-2E9C-101B-9397-08002B2CF9AE}" pid="15" name="SDRemark">
    <vt:lpwstr/>
  </property>
  <property fmtid="{D5CDD505-2E9C-101B-9397-08002B2CF9AE}" pid="16" name="SDOfflineTo">
    <vt:lpwstr/>
  </property>
  <property fmtid="{D5CDD505-2E9C-101B-9397-08002B2CF9AE}" pid="17" name="SDDistList">
    <vt:lpwstr/>
  </property>
  <property fmtid="{D5CDD505-2E9C-101B-9397-08002B2CF9AE}" pid="18" name="SDDistDate">
    <vt:lpwstr/>
  </property>
  <property fmtid="{D5CDD505-2E9C-101B-9397-08002B2CF9AE}" pid="19" name="SDOriginalID">
    <vt:lpwstr/>
  </property>
  <property fmtid="{D5CDD505-2E9C-101B-9397-08002B2CF9AE}" pid="20" name="SDSenderName">
    <vt:lpwstr/>
  </property>
  <property fmtid="{D5CDD505-2E9C-101B-9397-08002B2CF9AE}" pid="21" name="SDToList">
    <vt:lpwstr/>
  </property>
  <property fmtid="{D5CDD505-2E9C-101B-9397-08002B2CF9AE}" pid="22" name="SDCCList">
    <vt:lpwstr/>
  </property>
  <property fmtid="{D5CDD505-2E9C-101B-9397-08002B2CF9AE}" pid="23" name="STHasReminders">
    <vt:lpwstr>0</vt:lpwstr>
  </property>
  <property fmtid="{D5CDD505-2E9C-101B-9397-08002B2CF9AE}" pid="24" name="SDLink">
    <vt:lpwstr>, </vt:lpwstr>
  </property>
  <property fmtid="{D5CDD505-2E9C-101B-9397-08002B2CF9AE}" pid="25" name="Num_Gim1">
    <vt:lpwstr/>
  </property>
  <property fmtid="{D5CDD505-2E9C-101B-9397-08002B2CF9AE}" pid="26" name="NoseA">
    <vt:lpwstr/>
  </property>
  <property fmtid="{D5CDD505-2E9C-101B-9397-08002B2CF9AE}" pid="27" name="NoseB">
    <vt:lpwstr/>
  </property>
  <property fmtid="{D5CDD505-2E9C-101B-9397-08002B2CF9AE}" pid="28" name="knesset_number">
    <vt:lpwstr/>
  </property>
  <property fmtid="{D5CDD505-2E9C-101B-9397-08002B2CF9AE}" pid="29" name="ValidFrom">
    <vt:lpwstr/>
  </property>
  <property fmtid="{D5CDD505-2E9C-101B-9397-08002B2CF9AE}" pid="30" name="ValidUntill">
    <vt:lpwstr/>
  </property>
  <property fmtid="{D5CDD505-2E9C-101B-9397-08002B2CF9AE}" pid="31" name="To1">
    <vt:lpwstr/>
  </property>
  <property fmtid="{D5CDD505-2E9C-101B-9397-08002B2CF9AE}" pid="32" name="From">
    <vt:lpwstr/>
  </property>
  <property fmtid="{D5CDD505-2E9C-101B-9397-08002B2CF9AE}" pid="33" name="body">
    <vt:lpwstr/>
  </property>
  <property fmtid="{D5CDD505-2E9C-101B-9397-08002B2CF9AE}" pid="34" name="ItemID">
    <vt:lpwstr/>
  </property>
  <property fmtid="{D5CDD505-2E9C-101B-9397-08002B2CF9AE}" pid="35" name="DocID">
    <vt:lpwstr/>
  </property>
  <property fmtid="{D5CDD505-2E9C-101B-9397-08002B2CF9AE}" pid="36" name="YozemID">
    <vt:lpwstr/>
  </property>
</Properties>
</file>