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25083">
      <w:pPr>
        <w:pStyle w:val="a3"/>
        <w:spacing w:line="360" w:lineRule="auto"/>
        <w:rPr>
          <w:rFonts w:cs="David"/>
          <w:u w:val="none"/>
          <w:rtl/>
        </w:rPr>
      </w:pPr>
      <w:bookmarkStart w:id="0" w:name="_GoBack"/>
      <w:bookmarkEnd w:id="0"/>
      <w:r>
        <w:rPr>
          <w:rFonts w:cs="David"/>
          <w:u w:val="none"/>
          <w:rtl/>
        </w:rPr>
        <w:t>הכנסת השבע-עשרה</w:t>
      </w:r>
    </w:p>
    <w:p w:rsidR="00000000" w:rsidRDefault="00625083">
      <w:pPr>
        <w:tabs>
          <w:tab w:val="left" w:pos="2734"/>
        </w:tabs>
        <w:spacing w:line="360" w:lineRule="auto"/>
        <w:rPr>
          <w:rFonts w:cs="David"/>
          <w:sz w:val="26"/>
          <w:szCs w:val="26"/>
          <w:rtl/>
        </w:rPr>
      </w:pPr>
    </w:p>
    <w:tbl>
      <w:tblPr>
        <w:tblpPr w:leftFromText="180" w:rightFromText="180" w:vertAnchor="text" w:tblpY="1"/>
        <w:tblOverlap w:val="never"/>
        <w:bidiVisual/>
        <w:tblW w:w="0" w:type="auto"/>
        <w:tblBorders>
          <w:bottom w:val="single" w:sz="4" w:space="0" w:color="auto"/>
        </w:tblBorders>
        <w:tblLook w:val="0000" w:firstRow="0" w:lastRow="0" w:firstColumn="0" w:lastColumn="0" w:noHBand="0" w:noVBand="0"/>
      </w:tblPr>
      <w:tblGrid>
        <w:gridCol w:w="2863"/>
        <w:gridCol w:w="2239"/>
      </w:tblGrid>
      <w:tr w:rsidR="00000000">
        <w:tblPrEx>
          <w:tblCellMar>
            <w:top w:w="0" w:type="dxa"/>
            <w:bottom w:w="0" w:type="dxa"/>
          </w:tblCellMar>
        </w:tblPrEx>
        <w:tc>
          <w:tcPr>
            <w:tcW w:w="2863" w:type="dxa"/>
            <w:tcBorders>
              <w:top w:val="nil"/>
              <w:left w:val="nil"/>
              <w:bottom w:val="nil"/>
              <w:right w:val="nil"/>
            </w:tcBorders>
          </w:tcPr>
          <w:p w:rsidR="00000000" w:rsidRDefault="00625083">
            <w:pPr>
              <w:spacing w:after="120"/>
              <w:rPr>
                <w:rFonts w:cs="David"/>
                <w:sz w:val="26"/>
                <w:szCs w:val="26"/>
              </w:rPr>
            </w:pPr>
            <w:r>
              <w:rPr>
                <w:rFonts w:cs="David"/>
                <w:sz w:val="26"/>
                <w:szCs w:val="26"/>
                <w:rtl/>
              </w:rPr>
              <w:t>הצעת חוק של חברי הכנסת</w:t>
            </w:r>
          </w:p>
        </w:tc>
        <w:tc>
          <w:tcPr>
            <w:tcW w:w="2239" w:type="dxa"/>
            <w:tcBorders>
              <w:top w:val="nil"/>
              <w:left w:val="nil"/>
              <w:bottom w:val="nil"/>
              <w:right w:val="nil"/>
            </w:tcBorders>
          </w:tcPr>
          <w:p w:rsidR="00000000" w:rsidRDefault="00625083">
            <w:pPr>
              <w:spacing w:after="120"/>
              <w:rPr>
                <w:rFonts w:cs="David"/>
                <w:b/>
                <w:bCs/>
                <w:sz w:val="26"/>
                <w:szCs w:val="26"/>
              </w:rPr>
            </w:pPr>
            <w:r>
              <w:rPr>
                <w:rFonts w:cs="David"/>
                <w:b/>
                <w:bCs/>
                <w:sz w:val="26"/>
                <w:szCs w:val="26"/>
                <w:rtl/>
              </w:rPr>
              <w:t xml:space="preserve">יורי שטרן </w:t>
            </w:r>
          </w:p>
        </w:tc>
      </w:tr>
      <w:tr w:rsidR="00000000">
        <w:tblPrEx>
          <w:tblCellMar>
            <w:top w:w="0" w:type="dxa"/>
            <w:bottom w:w="0" w:type="dxa"/>
          </w:tblCellMar>
        </w:tblPrEx>
        <w:tc>
          <w:tcPr>
            <w:tcW w:w="2863" w:type="dxa"/>
            <w:tcBorders>
              <w:top w:val="nil"/>
              <w:left w:val="nil"/>
              <w:bottom w:val="nil"/>
              <w:right w:val="nil"/>
            </w:tcBorders>
          </w:tcPr>
          <w:p w:rsidR="00000000" w:rsidRDefault="00625083">
            <w:pPr>
              <w:spacing w:after="120"/>
              <w:rPr>
                <w:rFonts w:cs="David"/>
                <w:sz w:val="26"/>
                <w:szCs w:val="26"/>
              </w:rPr>
            </w:pPr>
          </w:p>
        </w:tc>
        <w:tc>
          <w:tcPr>
            <w:tcW w:w="2239" w:type="dxa"/>
            <w:tcBorders>
              <w:top w:val="nil"/>
              <w:left w:val="nil"/>
              <w:bottom w:val="nil"/>
              <w:right w:val="nil"/>
            </w:tcBorders>
          </w:tcPr>
          <w:p w:rsidR="00000000" w:rsidRDefault="00625083">
            <w:pPr>
              <w:spacing w:after="120"/>
              <w:rPr>
                <w:rFonts w:cs="David"/>
                <w:sz w:val="26"/>
                <w:szCs w:val="26"/>
              </w:rPr>
            </w:pPr>
            <w:r>
              <w:rPr>
                <w:rFonts w:cs="David"/>
                <w:sz w:val="26"/>
                <w:szCs w:val="26"/>
                <w:rtl/>
              </w:rPr>
              <w:t>יצחק אהרונוביץ'</w:t>
            </w:r>
          </w:p>
        </w:tc>
      </w:tr>
      <w:tr w:rsidR="00000000">
        <w:tblPrEx>
          <w:tblCellMar>
            <w:top w:w="0" w:type="dxa"/>
            <w:bottom w:w="0" w:type="dxa"/>
          </w:tblCellMar>
        </w:tblPrEx>
        <w:tc>
          <w:tcPr>
            <w:tcW w:w="2863" w:type="dxa"/>
            <w:tcBorders>
              <w:top w:val="nil"/>
              <w:left w:val="nil"/>
              <w:bottom w:val="nil"/>
              <w:right w:val="nil"/>
            </w:tcBorders>
          </w:tcPr>
          <w:p w:rsidR="00000000" w:rsidRDefault="00625083">
            <w:pPr>
              <w:spacing w:after="120"/>
              <w:rPr>
                <w:rFonts w:cs="David"/>
                <w:sz w:val="26"/>
                <w:szCs w:val="26"/>
              </w:rPr>
            </w:pPr>
          </w:p>
        </w:tc>
        <w:tc>
          <w:tcPr>
            <w:tcW w:w="2239" w:type="dxa"/>
            <w:tcBorders>
              <w:top w:val="nil"/>
              <w:left w:val="nil"/>
              <w:bottom w:val="nil"/>
              <w:right w:val="nil"/>
            </w:tcBorders>
          </w:tcPr>
          <w:p w:rsidR="00000000" w:rsidRDefault="00625083">
            <w:pPr>
              <w:spacing w:after="120"/>
              <w:rPr>
                <w:rFonts w:cs="David"/>
                <w:sz w:val="26"/>
                <w:szCs w:val="26"/>
                <w:rtl/>
              </w:rPr>
            </w:pPr>
            <w:r>
              <w:rPr>
                <w:rFonts w:cs="David"/>
                <w:sz w:val="26"/>
                <w:szCs w:val="26"/>
                <w:rtl/>
              </w:rPr>
              <w:t>רוברט אילטוב</w:t>
            </w:r>
          </w:p>
        </w:tc>
      </w:tr>
      <w:tr w:rsidR="00000000">
        <w:tblPrEx>
          <w:tblCellMar>
            <w:top w:w="0" w:type="dxa"/>
            <w:bottom w:w="0" w:type="dxa"/>
          </w:tblCellMar>
        </w:tblPrEx>
        <w:tc>
          <w:tcPr>
            <w:tcW w:w="2863" w:type="dxa"/>
            <w:tcBorders>
              <w:top w:val="nil"/>
              <w:left w:val="nil"/>
              <w:bottom w:val="nil"/>
              <w:right w:val="nil"/>
            </w:tcBorders>
          </w:tcPr>
          <w:p w:rsidR="00000000" w:rsidRDefault="00625083">
            <w:pPr>
              <w:spacing w:after="120"/>
              <w:rPr>
                <w:rFonts w:cs="David"/>
                <w:sz w:val="26"/>
                <w:szCs w:val="26"/>
              </w:rPr>
            </w:pPr>
          </w:p>
        </w:tc>
        <w:tc>
          <w:tcPr>
            <w:tcW w:w="2239" w:type="dxa"/>
            <w:tcBorders>
              <w:top w:val="nil"/>
              <w:left w:val="nil"/>
              <w:bottom w:val="nil"/>
              <w:right w:val="nil"/>
            </w:tcBorders>
          </w:tcPr>
          <w:p w:rsidR="00000000" w:rsidRDefault="00625083">
            <w:pPr>
              <w:spacing w:after="120"/>
              <w:rPr>
                <w:rFonts w:cs="David"/>
                <w:sz w:val="26"/>
                <w:szCs w:val="26"/>
                <w:rtl/>
              </w:rPr>
            </w:pPr>
            <w:r>
              <w:rPr>
                <w:rFonts w:cs="David"/>
                <w:sz w:val="26"/>
                <w:szCs w:val="26"/>
                <w:rtl/>
              </w:rPr>
              <w:t>ישראל חסון</w:t>
            </w:r>
          </w:p>
        </w:tc>
      </w:tr>
      <w:tr w:rsidR="00000000">
        <w:tblPrEx>
          <w:tblCellMar>
            <w:top w:w="0" w:type="dxa"/>
            <w:bottom w:w="0" w:type="dxa"/>
          </w:tblCellMar>
        </w:tblPrEx>
        <w:tc>
          <w:tcPr>
            <w:tcW w:w="2863" w:type="dxa"/>
            <w:tcBorders>
              <w:top w:val="nil"/>
              <w:left w:val="nil"/>
              <w:bottom w:val="nil"/>
              <w:right w:val="nil"/>
            </w:tcBorders>
          </w:tcPr>
          <w:p w:rsidR="00000000" w:rsidRDefault="00625083">
            <w:pPr>
              <w:spacing w:after="120"/>
              <w:rPr>
                <w:rFonts w:cs="David"/>
                <w:sz w:val="26"/>
                <w:szCs w:val="26"/>
              </w:rPr>
            </w:pPr>
          </w:p>
        </w:tc>
        <w:tc>
          <w:tcPr>
            <w:tcW w:w="2239" w:type="dxa"/>
            <w:tcBorders>
              <w:top w:val="nil"/>
              <w:left w:val="nil"/>
              <w:bottom w:val="nil"/>
              <w:right w:val="nil"/>
            </w:tcBorders>
          </w:tcPr>
          <w:p w:rsidR="00000000" w:rsidRDefault="00625083">
            <w:pPr>
              <w:spacing w:after="120"/>
              <w:rPr>
                <w:rFonts w:cs="David"/>
                <w:sz w:val="26"/>
                <w:szCs w:val="26"/>
              </w:rPr>
            </w:pPr>
            <w:r>
              <w:rPr>
                <w:rFonts w:cs="David"/>
                <w:sz w:val="26"/>
                <w:szCs w:val="26"/>
                <w:rtl/>
              </w:rPr>
              <w:t>אסתרינה טרטמן</w:t>
            </w:r>
          </w:p>
        </w:tc>
      </w:tr>
      <w:tr w:rsidR="00000000">
        <w:tblPrEx>
          <w:tblCellMar>
            <w:top w:w="0" w:type="dxa"/>
            <w:bottom w:w="0" w:type="dxa"/>
          </w:tblCellMar>
        </w:tblPrEx>
        <w:tc>
          <w:tcPr>
            <w:tcW w:w="2863" w:type="dxa"/>
            <w:tcBorders>
              <w:top w:val="nil"/>
              <w:left w:val="nil"/>
              <w:bottom w:val="nil"/>
              <w:right w:val="nil"/>
            </w:tcBorders>
          </w:tcPr>
          <w:p w:rsidR="00000000" w:rsidRDefault="00625083">
            <w:pPr>
              <w:spacing w:after="120"/>
              <w:rPr>
                <w:rFonts w:cs="David"/>
                <w:sz w:val="26"/>
                <w:szCs w:val="26"/>
              </w:rPr>
            </w:pPr>
          </w:p>
        </w:tc>
        <w:tc>
          <w:tcPr>
            <w:tcW w:w="2239" w:type="dxa"/>
            <w:tcBorders>
              <w:top w:val="nil"/>
              <w:left w:val="nil"/>
              <w:bottom w:val="nil"/>
              <w:right w:val="nil"/>
            </w:tcBorders>
          </w:tcPr>
          <w:p w:rsidR="00000000" w:rsidRDefault="00625083">
            <w:pPr>
              <w:spacing w:after="120"/>
              <w:rPr>
                <w:rFonts w:cs="David"/>
                <w:sz w:val="26"/>
                <w:szCs w:val="26"/>
                <w:rtl/>
              </w:rPr>
            </w:pPr>
            <w:r>
              <w:rPr>
                <w:rFonts w:cs="David"/>
                <w:sz w:val="26"/>
                <w:szCs w:val="26"/>
                <w:rtl/>
              </w:rPr>
              <w:t>סופה לנדבר</w:t>
            </w:r>
          </w:p>
        </w:tc>
      </w:tr>
      <w:tr w:rsidR="00000000">
        <w:tblPrEx>
          <w:tblCellMar>
            <w:top w:w="0" w:type="dxa"/>
            <w:bottom w:w="0" w:type="dxa"/>
          </w:tblCellMar>
        </w:tblPrEx>
        <w:tc>
          <w:tcPr>
            <w:tcW w:w="2863" w:type="dxa"/>
            <w:tcBorders>
              <w:top w:val="nil"/>
              <w:left w:val="nil"/>
              <w:bottom w:val="nil"/>
              <w:right w:val="nil"/>
            </w:tcBorders>
          </w:tcPr>
          <w:p w:rsidR="00000000" w:rsidRDefault="00625083">
            <w:pPr>
              <w:spacing w:after="120"/>
              <w:rPr>
                <w:rFonts w:cs="David"/>
                <w:sz w:val="26"/>
                <w:szCs w:val="26"/>
              </w:rPr>
            </w:pPr>
          </w:p>
        </w:tc>
        <w:tc>
          <w:tcPr>
            <w:tcW w:w="2239" w:type="dxa"/>
            <w:tcBorders>
              <w:top w:val="nil"/>
              <w:left w:val="nil"/>
              <w:bottom w:val="nil"/>
              <w:right w:val="nil"/>
            </w:tcBorders>
          </w:tcPr>
          <w:p w:rsidR="00000000" w:rsidRDefault="00625083">
            <w:pPr>
              <w:spacing w:after="120"/>
              <w:rPr>
                <w:rFonts w:cs="David"/>
                <w:sz w:val="26"/>
                <w:szCs w:val="26"/>
                <w:rtl/>
              </w:rPr>
            </w:pPr>
            <w:r>
              <w:rPr>
                <w:rFonts w:cs="David"/>
                <w:sz w:val="26"/>
                <w:szCs w:val="26"/>
                <w:rtl/>
              </w:rPr>
              <w:t>אלכס מילר</w:t>
            </w:r>
          </w:p>
        </w:tc>
      </w:tr>
      <w:tr w:rsidR="00000000">
        <w:tblPrEx>
          <w:tblCellMar>
            <w:top w:w="0" w:type="dxa"/>
            <w:bottom w:w="0" w:type="dxa"/>
          </w:tblCellMar>
        </w:tblPrEx>
        <w:tc>
          <w:tcPr>
            <w:tcW w:w="2863" w:type="dxa"/>
            <w:tcBorders>
              <w:top w:val="nil"/>
              <w:left w:val="nil"/>
              <w:bottom w:val="nil"/>
              <w:right w:val="nil"/>
            </w:tcBorders>
          </w:tcPr>
          <w:p w:rsidR="00000000" w:rsidRDefault="00625083">
            <w:pPr>
              <w:spacing w:after="120"/>
              <w:rPr>
                <w:rFonts w:cs="David"/>
                <w:sz w:val="26"/>
                <w:szCs w:val="26"/>
              </w:rPr>
            </w:pPr>
          </w:p>
        </w:tc>
        <w:tc>
          <w:tcPr>
            <w:tcW w:w="2239" w:type="dxa"/>
            <w:tcBorders>
              <w:top w:val="nil"/>
              <w:left w:val="nil"/>
              <w:bottom w:val="nil"/>
              <w:right w:val="nil"/>
            </w:tcBorders>
          </w:tcPr>
          <w:p w:rsidR="00000000" w:rsidRDefault="00625083">
            <w:pPr>
              <w:spacing w:after="120"/>
              <w:rPr>
                <w:rFonts w:cs="David"/>
                <w:sz w:val="26"/>
                <w:szCs w:val="26"/>
                <w:rtl/>
              </w:rPr>
            </w:pPr>
            <w:r>
              <w:rPr>
                <w:rFonts w:cs="David"/>
                <w:sz w:val="26"/>
                <w:szCs w:val="26"/>
                <w:rtl/>
              </w:rPr>
              <w:t>סטס מיסז'ניקוב</w:t>
            </w:r>
          </w:p>
        </w:tc>
      </w:tr>
      <w:tr w:rsidR="00000000">
        <w:tblPrEx>
          <w:tblCellMar>
            <w:top w:w="0" w:type="dxa"/>
            <w:bottom w:w="0" w:type="dxa"/>
          </w:tblCellMar>
        </w:tblPrEx>
        <w:tc>
          <w:tcPr>
            <w:tcW w:w="2863" w:type="dxa"/>
            <w:tcBorders>
              <w:top w:val="nil"/>
              <w:left w:val="nil"/>
              <w:bottom w:val="single" w:sz="4" w:space="0" w:color="auto"/>
              <w:right w:val="nil"/>
            </w:tcBorders>
          </w:tcPr>
          <w:p w:rsidR="00000000" w:rsidRDefault="00625083">
            <w:pPr>
              <w:spacing w:after="120"/>
              <w:rPr>
                <w:rFonts w:cs="David"/>
                <w:sz w:val="26"/>
                <w:szCs w:val="26"/>
              </w:rPr>
            </w:pPr>
          </w:p>
        </w:tc>
        <w:tc>
          <w:tcPr>
            <w:tcW w:w="2239" w:type="dxa"/>
            <w:tcBorders>
              <w:top w:val="nil"/>
              <w:left w:val="nil"/>
              <w:bottom w:val="single" w:sz="4" w:space="0" w:color="auto"/>
              <w:right w:val="nil"/>
            </w:tcBorders>
          </w:tcPr>
          <w:p w:rsidR="00000000" w:rsidRDefault="00625083">
            <w:pPr>
              <w:spacing w:after="120"/>
              <w:rPr>
                <w:rFonts w:cs="David"/>
                <w:sz w:val="26"/>
                <w:szCs w:val="26"/>
                <w:rtl/>
              </w:rPr>
            </w:pPr>
            <w:r>
              <w:rPr>
                <w:rFonts w:cs="David"/>
                <w:sz w:val="26"/>
                <w:szCs w:val="26"/>
                <w:rtl/>
              </w:rPr>
              <w:t xml:space="preserve">ליה שמטוב </w:t>
            </w:r>
          </w:p>
        </w:tc>
      </w:tr>
    </w:tbl>
    <w:p w:rsidR="00000000" w:rsidRDefault="00625083">
      <w:pPr>
        <w:spacing w:line="360" w:lineRule="auto"/>
        <w:rPr>
          <w:rFonts w:cs="David"/>
          <w:b/>
          <w:bCs/>
          <w:rtl/>
        </w:rPr>
      </w:pPr>
      <w:r>
        <w:rPr>
          <w:rFonts w:cs="David"/>
          <w:sz w:val="26"/>
          <w:szCs w:val="26"/>
          <w:rtl/>
        </w:rPr>
        <w:br w:type="textWrapping" w:clear="all"/>
      </w:r>
      <w:r>
        <w:rPr>
          <w:rFonts w:cs="David"/>
          <w:sz w:val="26"/>
          <w:szCs w:val="26"/>
          <w:rtl/>
        </w:rPr>
        <w:t xml:space="preserve">                                                                                                 </w:t>
      </w:r>
      <w:r>
        <w:rPr>
          <w:rFonts w:cs="David"/>
          <w:b/>
          <w:bCs/>
          <w:rtl/>
        </w:rPr>
        <w:t>פ/713/17</w:t>
      </w:r>
    </w:p>
    <w:p w:rsidR="00000000" w:rsidRDefault="00625083">
      <w:pPr>
        <w:spacing w:line="360" w:lineRule="auto"/>
        <w:rPr>
          <w:rFonts w:cs="David"/>
          <w:sz w:val="26"/>
          <w:szCs w:val="26"/>
          <w:rtl/>
        </w:rPr>
      </w:pPr>
    </w:p>
    <w:p w:rsidR="00000000" w:rsidRDefault="00625083">
      <w:pPr>
        <w:spacing w:line="360" w:lineRule="auto"/>
        <w:jc w:val="center"/>
        <w:rPr>
          <w:rFonts w:cs="David"/>
          <w:b/>
          <w:bCs/>
          <w:sz w:val="28"/>
          <w:szCs w:val="28"/>
          <w:rtl/>
        </w:rPr>
      </w:pPr>
      <w:bookmarkStart w:id="1" w:name="Title"/>
      <w:r>
        <w:rPr>
          <w:rFonts w:cs="David"/>
          <w:b/>
          <w:bCs/>
          <w:sz w:val="28"/>
          <w:szCs w:val="28"/>
          <w:rtl/>
        </w:rPr>
        <w:t>הצעת חוק זכויות החולה (תיקון - שמירת סודיות רפואית), התשס"ו-2006</w:t>
      </w:r>
      <w:bookmarkEnd w:id="1"/>
    </w:p>
    <w:p w:rsidR="00000000" w:rsidRDefault="00625083">
      <w:pPr>
        <w:spacing w:line="360" w:lineRule="auto"/>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8"/>
        <w:gridCol w:w="549"/>
        <w:gridCol w:w="567"/>
        <w:gridCol w:w="6136"/>
      </w:tblGrid>
      <w:tr w:rsidR="00000000">
        <w:tblPrEx>
          <w:tblCellMar>
            <w:top w:w="0" w:type="dxa"/>
            <w:bottom w:w="0" w:type="dxa"/>
          </w:tblCellMar>
        </w:tblPrEx>
        <w:trPr>
          <w:cantSplit/>
        </w:trPr>
        <w:tc>
          <w:tcPr>
            <w:tcW w:w="1168" w:type="dxa"/>
            <w:tcBorders>
              <w:top w:val="nil"/>
              <w:left w:val="nil"/>
              <w:bottom w:val="nil"/>
              <w:right w:val="nil"/>
            </w:tcBorders>
          </w:tcPr>
          <w:p w:rsidR="00000000" w:rsidRDefault="00625083">
            <w:pPr>
              <w:spacing w:after="120"/>
              <w:rPr>
                <w:rFonts w:cs="David"/>
                <w:sz w:val="26"/>
                <w:szCs w:val="26"/>
              </w:rPr>
            </w:pPr>
            <w:r>
              <w:rPr>
                <w:rFonts w:cs="David"/>
                <w:sz w:val="26"/>
                <w:szCs w:val="26"/>
                <w:rtl/>
              </w:rPr>
              <w:t>תיקון סעיף 28</w:t>
            </w:r>
          </w:p>
        </w:tc>
        <w:tc>
          <w:tcPr>
            <w:tcW w:w="549" w:type="dxa"/>
            <w:tcBorders>
              <w:top w:val="nil"/>
              <w:left w:val="nil"/>
              <w:bottom w:val="nil"/>
              <w:right w:val="nil"/>
            </w:tcBorders>
          </w:tcPr>
          <w:p w:rsidR="00000000" w:rsidRDefault="00625083">
            <w:pPr>
              <w:spacing w:after="120" w:line="360" w:lineRule="auto"/>
              <w:rPr>
                <w:rFonts w:cs="David"/>
                <w:sz w:val="26"/>
                <w:szCs w:val="26"/>
              </w:rPr>
            </w:pPr>
            <w:r>
              <w:rPr>
                <w:rFonts w:cs="David"/>
                <w:sz w:val="26"/>
                <w:szCs w:val="26"/>
                <w:rtl/>
              </w:rPr>
              <w:t>1.</w:t>
            </w:r>
          </w:p>
        </w:tc>
        <w:tc>
          <w:tcPr>
            <w:tcW w:w="6703" w:type="dxa"/>
            <w:gridSpan w:val="2"/>
            <w:tcBorders>
              <w:top w:val="nil"/>
              <w:left w:val="nil"/>
              <w:bottom w:val="nil"/>
              <w:right w:val="nil"/>
            </w:tcBorders>
          </w:tcPr>
          <w:p w:rsidR="00000000" w:rsidRDefault="00625083">
            <w:pPr>
              <w:spacing w:after="120" w:line="360" w:lineRule="auto"/>
              <w:jc w:val="both"/>
              <w:rPr>
                <w:rFonts w:cs="David"/>
                <w:sz w:val="26"/>
                <w:szCs w:val="26"/>
              </w:rPr>
            </w:pPr>
            <w:r>
              <w:rPr>
                <w:rFonts w:cs="David"/>
                <w:sz w:val="26"/>
                <w:szCs w:val="26"/>
                <w:rtl/>
              </w:rPr>
              <w:t>בחוק זכויות החולה, התשנ"ו-1996</w:t>
            </w:r>
            <w:r>
              <w:rPr>
                <w:rStyle w:val="ac"/>
                <w:rFonts w:cs="David"/>
                <w:sz w:val="26"/>
                <w:szCs w:val="26"/>
              </w:rPr>
              <w:footnoteReference w:id="1"/>
            </w:r>
            <w:r>
              <w:rPr>
                <w:rFonts w:cs="David"/>
                <w:sz w:val="26"/>
                <w:szCs w:val="26"/>
                <w:rtl/>
              </w:rPr>
              <w:t xml:space="preserve"> (להלן - החוק העיקרי), בסעיף 28, אחרי סעיף קטן (ב) יבוא:</w:t>
            </w:r>
          </w:p>
        </w:tc>
      </w:tr>
      <w:tr w:rsidR="00000000">
        <w:tblPrEx>
          <w:tblCellMar>
            <w:top w:w="0" w:type="dxa"/>
            <w:bottom w:w="0" w:type="dxa"/>
          </w:tblCellMar>
        </w:tblPrEx>
        <w:trPr>
          <w:cantSplit/>
        </w:trPr>
        <w:tc>
          <w:tcPr>
            <w:tcW w:w="1168" w:type="dxa"/>
            <w:tcBorders>
              <w:top w:val="nil"/>
              <w:left w:val="nil"/>
              <w:bottom w:val="nil"/>
              <w:right w:val="nil"/>
            </w:tcBorders>
          </w:tcPr>
          <w:p w:rsidR="00000000" w:rsidRDefault="00625083">
            <w:pPr>
              <w:spacing w:after="120"/>
              <w:rPr>
                <w:rFonts w:cs="David"/>
                <w:sz w:val="26"/>
                <w:szCs w:val="26"/>
              </w:rPr>
            </w:pPr>
          </w:p>
        </w:tc>
        <w:tc>
          <w:tcPr>
            <w:tcW w:w="549" w:type="dxa"/>
            <w:tcBorders>
              <w:top w:val="nil"/>
              <w:left w:val="nil"/>
              <w:bottom w:val="nil"/>
              <w:right w:val="nil"/>
            </w:tcBorders>
          </w:tcPr>
          <w:p w:rsidR="00000000" w:rsidRDefault="00625083">
            <w:pPr>
              <w:spacing w:after="120" w:line="360" w:lineRule="auto"/>
              <w:rPr>
                <w:rFonts w:cs="David"/>
                <w:sz w:val="26"/>
                <w:szCs w:val="26"/>
              </w:rPr>
            </w:pPr>
          </w:p>
        </w:tc>
        <w:tc>
          <w:tcPr>
            <w:tcW w:w="567" w:type="dxa"/>
            <w:tcBorders>
              <w:top w:val="nil"/>
              <w:left w:val="nil"/>
              <w:bottom w:val="nil"/>
              <w:right w:val="nil"/>
            </w:tcBorders>
          </w:tcPr>
          <w:p w:rsidR="00000000" w:rsidRDefault="00625083">
            <w:pPr>
              <w:spacing w:after="120" w:line="360" w:lineRule="auto"/>
              <w:rPr>
                <w:rFonts w:cs="David"/>
                <w:sz w:val="26"/>
                <w:szCs w:val="26"/>
              </w:rPr>
            </w:pPr>
            <w:r>
              <w:rPr>
                <w:rFonts w:cs="David"/>
                <w:sz w:val="26"/>
                <w:szCs w:val="26"/>
                <w:rtl/>
              </w:rPr>
              <w:t>"(ג)</w:t>
            </w:r>
          </w:p>
        </w:tc>
        <w:tc>
          <w:tcPr>
            <w:tcW w:w="6136" w:type="dxa"/>
            <w:tcBorders>
              <w:top w:val="nil"/>
              <w:left w:val="nil"/>
              <w:bottom w:val="nil"/>
              <w:right w:val="nil"/>
            </w:tcBorders>
          </w:tcPr>
          <w:p w:rsidR="00000000" w:rsidRDefault="00625083">
            <w:pPr>
              <w:spacing w:after="120" w:line="360" w:lineRule="auto"/>
              <w:jc w:val="both"/>
              <w:rPr>
                <w:rFonts w:cs="David"/>
                <w:sz w:val="26"/>
                <w:szCs w:val="26"/>
                <w:rtl/>
              </w:rPr>
            </w:pPr>
            <w:r>
              <w:rPr>
                <w:rFonts w:cs="David"/>
                <w:sz w:val="26"/>
                <w:szCs w:val="26"/>
                <w:rtl/>
              </w:rPr>
              <w:t>העובר על הוראות סעיף 19, דינו - מאסר שנה או קנס כאמור בסעיף 61(א)(3) לחוק העונשין, התשל"ז-1977</w:t>
            </w:r>
            <w:r>
              <w:rPr>
                <w:rStyle w:val="ac"/>
                <w:rFonts w:cs="David"/>
                <w:sz w:val="26"/>
                <w:szCs w:val="26"/>
              </w:rPr>
              <w:footnoteReference w:id="2"/>
            </w:r>
            <w:r>
              <w:rPr>
                <w:rFonts w:cs="David"/>
                <w:sz w:val="26"/>
                <w:szCs w:val="26"/>
                <w:rtl/>
              </w:rPr>
              <w:t>.</w:t>
            </w:r>
          </w:p>
        </w:tc>
      </w:tr>
      <w:tr w:rsidR="00000000">
        <w:tblPrEx>
          <w:tblCellMar>
            <w:top w:w="0" w:type="dxa"/>
            <w:bottom w:w="0" w:type="dxa"/>
          </w:tblCellMar>
        </w:tblPrEx>
        <w:trPr>
          <w:cantSplit/>
        </w:trPr>
        <w:tc>
          <w:tcPr>
            <w:tcW w:w="1168" w:type="dxa"/>
            <w:tcBorders>
              <w:top w:val="nil"/>
              <w:left w:val="nil"/>
              <w:bottom w:val="nil"/>
              <w:right w:val="nil"/>
            </w:tcBorders>
          </w:tcPr>
          <w:p w:rsidR="00000000" w:rsidRDefault="00625083">
            <w:pPr>
              <w:spacing w:after="120"/>
              <w:rPr>
                <w:rFonts w:cs="David"/>
                <w:sz w:val="26"/>
                <w:szCs w:val="26"/>
              </w:rPr>
            </w:pPr>
          </w:p>
        </w:tc>
        <w:tc>
          <w:tcPr>
            <w:tcW w:w="549" w:type="dxa"/>
            <w:tcBorders>
              <w:top w:val="nil"/>
              <w:left w:val="nil"/>
              <w:bottom w:val="nil"/>
              <w:right w:val="nil"/>
            </w:tcBorders>
          </w:tcPr>
          <w:p w:rsidR="00000000" w:rsidRDefault="00625083">
            <w:pPr>
              <w:spacing w:after="120" w:line="360" w:lineRule="auto"/>
              <w:rPr>
                <w:rFonts w:cs="David"/>
                <w:sz w:val="26"/>
                <w:szCs w:val="26"/>
              </w:rPr>
            </w:pPr>
          </w:p>
        </w:tc>
        <w:tc>
          <w:tcPr>
            <w:tcW w:w="567" w:type="dxa"/>
            <w:tcBorders>
              <w:top w:val="nil"/>
              <w:left w:val="nil"/>
              <w:bottom w:val="nil"/>
              <w:right w:val="nil"/>
            </w:tcBorders>
          </w:tcPr>
          <w:p w:rsidR="00000000" w:rsidRDefault="00625083">
            <w:pPr>
              <w:spacing w:after="120" w:line="360" w:lineRule="auto"/>
              <w:rPr>
                <w:rFonts w:cs="David"/>
                <w:sz w:val="26"/>
                <w:szCs w:val="26"/>
              </w:rPr>
            </w:pPr>
            <w:r>
              <w:rPr>
                <w:rFonts w:cs="David"/>
                <w:sz w:val="26"/>
                <w:szCs w:val="26"/>
                <w:rtl/>
              </w:rPr>
              <w:t>(ד)</w:t>
            </w:r>
          </w:p>
        </w:tc>
        <w:tc>
          <w:tcPr>
            <w:tcW w:w="6136" w:type="dxa"/>
            <w:tcBorders>
              <w:top w:val="nil"/>
              <w:left w:val="nil"/>
              <w:bottom w:val="nil"/>
              <w:right w:val="nil"/>
            </w:tcBorders>
          </w:tcPr>
          <w:p w:rsidR="00000000" w:rsidRDefault="00625083">
            <w:pPr>
              <w:spacing w:after="120" w:line="360" w:lineRule="auto"/>
              <w:jc w:val="both"/>
              <w:rPr>
                <w:rFonts w:cs="David"/>
                <w:sz w:val="26"/>
                <w:szCs w:val="26"/>
              </w:rPr>
            </w:pPr>
            <w:r>
              <w:rPr>
                <w:rFonts w:cs="David"/>
                <w:sz w:val="26"/>
                <w:szCs w:val="26"/>
                <w:rtl/>
              </w:rPr>
              <w:t>נושא משרה במוסד רפואי חייב לפקח ולעשות כל שניתן ל</w:t>
            </w:r>
            <w:r>
              <w:rPr>
                <w:rFonts w:cs="David"/>
                <w:sz w:val="26"/>
                <w:szCs w:val="26"/>
                <w:rtl/>
              </w:rPr>
              <w:t>מניעת עבירות על הוראות סעיף 19 על ידי המוסד הרפואי או על ידי עובד מעובדיו; המפר הוראה זו, דינו - קנס כאמור בסעיף 61(א)(4) לחוק העונשין, התשל"ז-1977</w:t>
            </w:r>
            <w:r>
              <w:rPr>
                <w:rStyle w:val="ac"/>
                <w:rFonts w:cs="David"/>
                <w:sz w:val="26"/>
                <w:szCs w:val="26"/>
                <w:rtl/>
              </w:rPr>
              <w:footnoteReference w:id="3"/>
            </w:r>
            <w:r>
              <w:rPr>
                <w:rFonts w:cs="David"/>
                <w:sz w:val="26"/>
                <w:szCs w:val="26"/>
                <w:rtl/>
              </w:rPr>
              <w:t>; לענין סעיף זה, "נושא משרה" - מנהל פעיל במוסד רפואי, פקיד או מטפל האחראי מטעם המוס</w:t>
            </w:r>
            <w:r>
              <w:rPr>
                <w:rFonts w:cs="David"/>
                <w:sz w:val="26"/>
                <w:szCs w:val="26"/>
                <w:rtl/>
              </w:rPr>
              <w:t>ד הרפואי על התחום שבו בוצעה העבירה.</w:t>
            </w:r>
          </w:p>
        </w:tc>
      </w:tr>
      <w:tr w:rsidR="00000000">
        <w:tblPrEx>
          <w:tblCellMar>
            <w:top w:w="0" w:type="dxa"/>
            <w:bottom w:w="0" w:type="dxa"/>
          </w:tblCellMar>
        </w:tblPrEx>
        <w:trPr>
          <w:cantSplit/>
        </w:trPr>
        <w:tc>
          <w:tcPr>
            <w:tcW w:w="1168" w:type="dxa"/>
            <w:tcBorders>
              <w:top w:val="nil"/>
              <w:left w:val="nil"/>
              <w:bottom w:val="nil"/>
              <w:right w:val="nil"/>
            </w:tcBorders>
          </w:tcPr>
          <w:p w:rsidR="00000000" w:rsidRDefault="00625083">
            <w:pPr>
              <w:spacing w:after="120"/>
              <w:rPr>
                <w:rFonts w:cs="David"/>
                <w:sz w:val="26"/>
                <w:szCs w:val="26"/>
              </w:rPr>
            </w:pPr>
          </w:p>
        </w:tc>
        <w:tc>
          <w:tcPr>
            <w:tcW w:w="549" w:type="dxa"/>
            <w:tcBorders>
              <w:top w:val="nil"/>
              <w:left w:val="nil"/>
              <w:bottom w:val="nil"/>
              <w:right w:val="nil"/>
            </w:tcBorders>
          </w:tcPr>
          <w:p w:rsidR="00000000" w:rsidRDefault="00625083">
            <w:pPr>
              <w:spacing w:after="120" w:line="360" w:lineRule="auto"/>
              <w:rPr>
                <w:rFonts w:cs="David"/>
                <w:sz w:val="26"/>
                <w:szCs w:val="26"/>
              </w:rPr>
            </w:pPr>
          </w:p>
        </w:tc>
        <w:tc>
          <w:tcPr>
            <w:tcW w:w="567" w:type="dxa"/>
            <w:tcBorders>
              <w:top w:val="nil"/>
              <w:left w:val="nil"/>
              <w:bottom w:val="nil"/>
              <w:right w:val="nil"/>
            </w:tcBorders>
          </w:tcPr>
          <w:p w:rsidR="00000000" w:rsidRDefault="00625083">
            <w:pPr>
              <w:spacing w:after="120" w:line="360" w:lineRule="auto"/>
              <w:rPr>
                <w:rFonts w:cs="David"/>
                <w:sz w:val="26"/>
                <w:szCs w:val="26"/>
              </w:rPr>
            </w:pPr>
            <w:r>
              <w:rPr>
                <w:rFonts w:cs="David"/>
                <w:sz w:val="26"/>
                <w:szCs w:val="26"/>
                <w:rtl/>
              </w:rPr>
              <w:t>(ה)</w:t>
            </w:r>
          </w:p>
        </w:tc>
        <w:tc>
          <w:tcPr>
            <w:tcW w:w="6136" w:type="dxa"/>
            <w:tcBorders>
              <w:top w:val="nil"/>
              <w:left w:val="nil"/>
              <w:bottom w:val="nil"/>
              <w:right w:val="nil"/>
            </w:tcBorders>
          </w:tcPr>
          <w:p w:rsidR="00000000" w:rsidRDefault="00625083">
            <w:pPr>
              <w:spacing w:after="120" w:line="360" w:lineRule="auto"/>
              <w:jc w:val="both"/>
              <w:rPr>
                <w:rFonts w:cs="David"/>
                <w:sz w:val="26"/>
                <w:szCs w:val="26"/>
                <w:rtl/>
              </w:rPr>
            </w:pPr>
            <w:r>
              <w:rPr>
                <w:rFonts w:cs="David"/>
                <w:sz w:val="26"/>
                <w:szCs w:val="26"/>
                <w:rtl/>
              </w:rPr>
              <w:t>נעברה עבירה לפי סעיף 19 על ידי מוסד רפואי או על ידי עובד מעובדיו, חזקה היא כי נושא משרה במוסד הרפואי הפר חובתו לפי סעיף קטן (ד), אלא אם כן הוכיח כי עשה כל שניתן כדי למלא את חובתו."</w:t>
            </w:r>
          </w:p>
          <w:p w:rsidR="00000000" w:rsidRDefault="00625083">
            <w:pPr>
              <w:spacing w:after="120" w:line="360" w:lineRule="auto"/>
              <w:jc w:val="both"/>
              <w:rPr>
                <w:rFonts w:cs="David"/>
                <w:sz w:val="26"/>
                <w:szCs w:val="26"/>
                <w:rtl/>
              </w:rPr>
            </w:pPr>
          </w:p>
        </w:tc>
      </w:tr>
      <w:tr w:rsidR="00000000">
        <w:tblPrEx>
          <w:tblCellMar>
            <w:top w:w="0" w:type="dxa"/>
            <w:bottom w:w="0" w:type="dxa"/>
          </w:tblCellMar>
        </w:tblPrEx>
        <w:trPr>
          <w:cantSplit/>
        </w:trPr>
        <w:tc>
          <w:tcPr>
            <w:tcW w:w="1168" w:type="dxa"/>
            <w:tcBorders>
              <w:top w:val="nil"/>
              <w:left w:val="nil"/>
              <w:bottom w:val="nil"/>
              <w:right w:val="nil"/>
            </w:tcBorders>
          </w:tcPr>
          <w:p w:rsidR="00000000" w:rsidRDefault="00625083">
            <w:pPr>
              <w:spacing w:after="120"/>
              <w:rPr>
                <w:rFonts w:cs="David"/>
                <w:sz w:val="26"/>
                <w:szCs w:val="26"/>
              </w:rPr>
            </w:pPr>
            <w:r>
              <w:rPr>
                <w:rFonts w:cs="David"/>
                <w:sz w:val="26"/>
                <w:szCs w:val="26"/>
                <w:rtl/>
              </w:rPr>
              <w:lastRenderedPageBreak/>
              <w:t>תיקון סעיף 28א</w:t>
            </w:r>
          </w:p>
        </w:tc>
        <w:tc>
          <w:tcPr>
            <w:tcW w:w="549" w:type="dxa"/>
            <w:tcBorders>
              <w:top w:val="nil"/>
              <w:left w:val="nil"/>
              <w:bottom w:val="nil"/>
              <w:right w:val="nil"/>
            </w:tcBorders>
          </w:tcPr>
          <w:p w:rsidR="00000000" w:rsidRDefault="00625083">
            <w:pPr>
              <w:spacing w:after="120" w:line="360" w:lineRule="auto"/>
              <w:rPr>
                <w:rFonts w:cs="David"/>
                <w:sz w:val="26"/>
                <w:szCs w:val="26"/>
              </w:rPr>
            </w:pPr>
            <w:r>
              <w:rPr>
                <w:rFonts w:cs="David"/>
                <w:sz w:val="26"/>
                <w:szCs w:val="26"/>
                <w:rtl/>
              </w:rPr>
              <w:t>2.</w:t>
            </w:r>
          </w:p>
        </w:tc>
        <w:tc>
          <w:tcPr>
            <w:tcW w:w="6703" w:type="dxa"/>
            <w:gridSpan w:val="2"/>
            <w:tcBorders>
              <w:top w:val="nil"/>
              <w:left w:val="nil"/>
              <w:bottom w:val="nil"/>
              <w:right w:val="nil"/>
            </w:tcBorders>
          </w:tcPr>
          <w:p w:rsidR="00000000" w:rsidRDefault="00625083">
            <w:pPr>
              <w:spacing w:after="120" w:line="360" w:lineRule="auto"/>
              <w:jc w:val="both"/>
              <w:rPr>
                <w:rFonts w:cs="David"/>
                <w:sz w:val="26"/>
                <w:szCs w:val="26"/>
              </w:rPr>
            </w:pPr>
            <w:r>
              <w:rPr>
                <w:rFonts w:cs="David"/>
                <w:sz w:val="26"/>
                <w:szCs w:val="26"/>
                <w:rtl/>
              </w:rPr>
              <w:t>האמור בסעיף</w:t>
            </w:r>
            <w:r>
              <w:rPr>
                <w:rFonts w:cs="David"/>
                <w:sz w:val="26"/>
                <w:szCs w:val="26"/>
                <w:rtl/>
              </w:rPr>
              <w:t xml:space="preserve"> 28א לחוק העיקרי יסומן "(א)" ואחריו יבוא:</w:t>
            </w:r>
          </w:p>
        </w:tc>
      </w:tr>
      <w:tr w:rsidR="00000000">
        <w:tblPrEx>
          <w:tblCellMar>
            <w:top w:w="0" w:type="dxa"/>
            <w:bottom w:w="0" w:type="dxa"/>
          </w:tblCellMar>
        </w:tblPrEx>
        <w:trPr>
          <w:cantSplit/>
        </w:trPr>
        <w:tc>
          <w:tcPr>
            <w:tcW w:w="1168" w:type="dxa"/>
            <w:tcBorders>
              <w:top w:val="nil"/>
              <w:left w:val="nil"/>
              <w:bottom w:val="nil"/>
              <w:right w:val="nil"/>
            </w:tcBorders>
          </w:tcPr>
          <w:p w:rsidR="00000000" w:rsidRDefault="00625083">
            <w:pPr>
              <w:spacing w:after="120"/>
              <w:rPr>
                <w:rFonts w:cs="David"/>
                <w:sz w:val="26"/>
                <w:szCs w:val="26"/>
              </w:rPr>
            </w:pPr>
          </w:p>
        </w:tc>
        <w:tc>
          <w:tcPr>
            <w:tcW w:w="549" w:type="dxa"/>
            <w:tcBorders>
              <w:top w:val="nil"/>
              <w:left w:val="nil"/>
              <w:bottom w:val="nil"/>
              <w:right w:val="nil"/>
            </w:tcBorders>
          </w:tcPr>
          <w:p w:rsidR="00000000" w:rsidRDefault="00625083">
            <w:pPr>
              <w:spacing w:after="120" w:line="360" w:lineRule="auto"/>
              <w:rPr>
                <w:rFonts w:cs="David"/>
                <w:sz w:val="26"/>
                <w:szCs w:val="26"/>
              </w:rPr>
            </w:pPr>
          </w:p>
        </w:tc>
        <w:tc>
          <w:tcPr>
            <w:tcW w:w="567" w:type="dxa"/>
            <w:tcBorders>
              <w:top w:val="nil"/>
              <w:left w:val="nil"/>
              <w:bottom w:val="nil"/>
              <w:right w:val="nil"/>
            </w:tcBorders>
          </w:tcPr>
          <w:p w:rsidR="00000000" w:rsidRDefault="00625083">
            <w:pPr>
              <w:spacing w:after="120" w:line="360" w:lineRule="auto"/>
              <w:rPr>
                <w:rFonts w:cs="David"/>
                <w:sz w:val="26"/>
                <w:szCs w:val="26"/>
              </w:rPr>
            </w:pPr>
            <w:r>
              <w:rPr>
                <w:rFonts w:cs="David"/>
                <w:sz w:val="26"/>
                <w:szCs w:val="26"/>
                <w:rtl/>
              </w:rPr>
              <w:t>"(ב)</w:t>
            </w:r>
          </w:p>
        </w:tc>
        <w:tc>
          <w:tcPr>
            <w:tcW w:w="6136" w:type="dxa"/>
            <w:tcBorders>
              <w:top w:val="nil"/>
              <w:left w:val="nil"/>
              <w:bottom w:val="nil"/>
              <w:right w:val="nil"/>
            </w:tcBorders>
          </w:tcPr>
          <w:p w:rsidR="00000000" w:rsidRDefault="00625083">
            <w:pPr>
              <w:spacing w:after="120" w:line="360" w:lineRule="auto"/>
              <w:jc w:val="both"/>
              <w:rPr>
                <w:rFonts w:cs="David"/>
                <w:sz w:val="26"/>
                <w:szCs w:val="26"/>
              </w:rPr>
            </w:pPr>
            <w:r>
              <w:rPr>
                <w:rFonts w:cs="David"/>
                <w:sz w:val="26"/>
                <w:szCs w:val="26"/>
                <w:rtl/>
              </w:rPr>
              <w:t>מעשה או מחדל בניגוד לסעיף 19 הוא עוולה אזרחית, והוראות פקודת הנזיקין [נוסח חדש]</w:t>
            </w:r>
            <w:r>
              <w:rPr>
                <w:rStyle w:val="ac"/>
                <w:rFonts w:cs="David"/>
                <w:sz w:val="26"/>
                <w:szCs w:val="26"/>
              </w:rPr>
              <w:footnoteReference w:id="4"/>
            </w:r>
            <w:r>
              <w:rPr>
                <w:rFonts w:cs="David"/>
                <w:sz w:val="26"/>
                <w:szCs w:val="26"/>
                <w:rtl/>
              </w:rPr>
              <w:t xml:space="preserve"> יחולו עליו; בשל עוולה לפי סעיף קטן זה בית משפט רשאי לפסוק פיצויים בסכום שלא יעלה ע</w:t>
            </w:r>
            <w:r>
              <w:rPr>
                <w:rFonts w:cs="David"/>
                <w:sz w:val="26"/>
                <w:szCs w:val="26"/>
                <w:rtl/>
              </w:rPr>
              <w:t>ל 10,000 שקלים חדשים, בלא הוכחת נזק."</w:t>
            </w:r>
          </w:p>
        </w:tc>
      </w:tr>
    </w:tbl>
    <w:p w:rsidR="00000000" w:rsidRDefault="00625083">
      <w:pPr>
        <w:spacing w:line="360" w:lineRule="auto"/>
        <w:ind w:left="1440" w:firstLine="720"/>
        <w:rPr>
          <w:rFonts w:cs="David"/>
          <w:b/>
          <w:bCs/>
          <w:sz w:val="28"/>
          <w:szCs w:val="28"/>
          <w:u w:val="single"/>
          <w:rtl/>
        </w:rPr>
      </w:pPr>
      <w:r>
        <w:rPr>
          <w:rFonts w:cs="David"/>
          <w:sz w:val="28"/>
          <w:szCs w:val="28"/>
          <w:rtl/>
        </w:rPr>
        <w:t xml:space="preserve">                     </w:t>
      </w:r>
      <w:r>
        <w:rPr>
          <w:rFonts w:cs="David"/>
          <w:b/>
          <w:bCs/>
          <w:sz w:val="28"/>
          <w:szCs w:val="28"/>
          <w:u w:val="single"/>
          <w:rtl/>
        </w:rPr>
        <w:t>דברי - הסבר</w:t>
      </w:r>
    </w:p>
    <w:p w:rsidR="00000000" w:rsidRDefault="00625083">
      <w:pPr>
        <w:spacing w:line="360" w:lineRule="auto"/>
        <w:ind w:left="1440" w:firstLine="720"/>
        <w:rPr>
          <w:rFonts w:cs="David"/>
          <w:b/>
          <w:bCs/>
          <w:sz w:val="28"/>
          <w:szCs w:val="28"/>
          <w:u w:val="single"/>
          <w:rtl/>
        </w:rPr>
      </w:pPr>
    </w:p>
    <w:p w:rsidR="00000000" w:rsidRDefault="00625083">
      <w:pPr>
        <w:pStyle w:val="a8"/>
        <w:rPr>
          <w:rFonts w:cs="David"/>
          <w:rtl/>
        </w:rPr>
      </w:pPr>
      <w:r>
        <w:rPr>
          <w:rFonts w:cs="David"/>
          <w:rtl/>
        </w:rPr>
        <w:t>זכותו של החולה לפרטיות ולחסיון המידע על מצבו הרפואי, הן מזכויותיו הבסיסיות של החולה.</w:t>
      </w:r>
    </w:p>
    <w:p w:rsidR="00000000" w:rsidRDefault="00625083">
      <w:pPr>
        <w:pStyle w:val="a8"/>
        <w:rPr>
          <w:rFonts w:cs="David"/>
          <w:rtl/>
        </w:rPr>
      </w:pPr>
      <w:r>
        <w:rPr>
          <w:rFonts w:cs="David"/>
          <w:rtl/>
        </w:rPr>
        <w:t xml:space="preserve"> </w:t>
      </w:r>
    </w:p>
    <w:p w:rsidR="00000000" w:rsidRDefault="00625083">
      <w:pPr>
        <w:pStyle w:val="a8"/>
        <w:rPr>
          <w:rFonts w:cs="David"/>
          <w:rtl/>
        </w:rPr>
      </w:pPr>
      <w:r>
        <w:rPr>
          <w:rFonts w:cs="David"/>
          <w:rtl/>
        </w:rPr>
        <w:t>סעיף 19 לחוק זכויות החולה, התשנ"ו-1996, מחייב מטפל או מוסד רפואי בשמירת סודיות רפואית של כל מידע</w:t>
      </w:r>
      <w:r>
        <w:rPr>
          <w:rFonts w:cs="David"/>
          <w:rtl/>
        </w:rPr>
        <w:t xml:space="preserve"> הנוגע למטופל, שהגיע אליהם תוך כדי מילוי תפקידם או במהלך עבודתם. במתכונתו הנוכחית של החוק, אין כל סנקציה פלילית המופעלת כלפי מטפל או מוסד רפואי שהפר את חובת הסודיות הרפואית ולכל היותר מופעל כנגדו דין משמעתי.</w:t>
      </w:r>
    </w:p>
    <w:p w:rsidR="00000000" w:rsidRDefault="00625083">
      <w:pPr>
        <w:pStyle w:val="a8"/>
        <w:rPr>
          <w:rFonts w:cs="David"/>
          <w:rtl/>
        </w:rPr>
      </w:pPr>
    </w:p>
    <w:p w:rsidR="00000000" w:rsidRDefault="00625083">
      <w:pPr>
        <w:pStyle w:val="21"/>
        <w:rPr>
          <w:rFonts w:cs="David"/>
          <w:b w:val="0"/>
          <w:bCs w:val="0"/>
          <w:sz w:val="26"/>
          <w:szCs w:val="26"/>
          <w:rtl/>
        </w:rPr>
      </w:pPr>
      <w:r>
        <w:rPr>
          <w:rFonts w:cs="David"/>
          <w:b w:val="0"/>
          <w:bCs w:val="0"/>
          <w:sz w:val="26"/>
          <w:szCs w:val="26"/>
          <w:rtl/>
        </w:rPr>
        <w:t>במצב דברים זה, אין כל אלמנט הרתעתי משמעותי כנגד</w:t>
      </w:r>
      <w:r>
        <w:rPr>
          <w:rFonts w:cs="David"/>
          <w:b w:val="0"/>
          <w:bCs w:val="0"/>
          <w:sz w:val="26"/>
          <w:szCs w:val="26"/>
          <w:rtl/>
        </w:rPr>
        <w:t xml:space="preserve"> המפר סודיות רפואית והנושא פרוץ. סדרת בדיקות של משרד הבריאות, משרד הפנים ומשרד המשפטים חשפה כי בתי חולים רבים בארץ מתקשרים בהסכמי שיתוף פעולה עם חברות ביטוח שונות וספקי תרופות ומאפשרים לנציגיהם לשוטט במחלקות השונות בבתי החולים ולשאוב מידע רפואי חסוי על חול</w:t>
      </w:r>
      <w:r>
        <w:rPr>
          <w:rFonts w:cs="David"/>
          <w:b w:val="0"/>
          <w:bCs w:val="0"/>
          <w:sz w:val="26"/>
          <w:szCs w:val="26"/>
          <w:rtl/>
        </w:rPr>
        <w:t>ים, במטרה להתאים להם את הביטוח או את התרופה שהם משווקים. לאחר שהם משוחררים מבית החולים, מוטרדים החולים על ידי נציגי המכירות של אותן חברות, תוף שהם חושפים את המידע הרפואי אודותם.</w:t>
      </w:r>
    </w:p>
    <w:p w:rsidR="00000000" w:rsidRDefault="00625083">
      <w:pPr>
        <w:pStyle w:val="21"/>
        <w:rPr>
          <w:rFonts w:cs="David"/>
          <w:b w:val="0"/>
          <w:bCs w:val="0"/>
          <w:sz w:val="26"/>
          <w:szCs w:val="26"/>
          <w:rtl/>
        </w:rPr>
      </w:pPr>
    </w:p>
    <w:p w:rsidR="00000000" w:rsidRDefault="00625083">
      <w:pPr>
        <w:jc w:val="both"/>
        <w:rPr>
          <w:rFonts w:cs="David"/>
          <w:b/>
          <w:bCs/>
          <w:rtl/>
        </w:rPr>
      </w:pPr>
      <w:r>
        <w:rPr>
          <w:rFonts w:cs="David"/>
          <w:sz w:val="26"/>
          <w:szCs w:val="26"/>
          <w:rtl/>
        </w:rPr>
        <w:t>מטרת התיקון היא להטיל עונש מאסר או קנס על איש מוסד רפואי המפר את חובת שמירת ה</w:t>
      </w:r>
      <w:r>
        <w:rPr>
          <w:rFonts w:cs="David"/>
          <w:sz w:val="26"/>
          <w:szCs w:val="26"/>
          <w:rtl/>
        </w:rPr>
        <w:t>סודיות הרפואית. כמו כן התיקון יאפשר למטופל לתבוע ישירות נושא משרה במוסד רפואי שהפר את חובת שמירת הסודיות הרפואית ולתבוע פיצויים בגין הנזק שנגרם לו גם ללא הוכחת נזק.</w:t>
      </w:r>
    </w:p>
    <w:p w:rsidR="00000000" w:rsidRDefault="00625083">
      <w:pPr>
        <w:jc w:val="both"/>
        <w:rPr>
          <w:rFonts w:cs="David"/>
          <w:sz w:val="26"/>
          <w:szCs w:val="26"/>
          <w:rtl/>
        </w:rPr>
      </w:pPr>
    </w:p>
    <w:p w:rsidR="00000000" w:rsidRDefault="00625083">
      <w:pPr>
        <w:pStyle w:val="a3"/>
        <w:jc w:val="both"/>
        <w:rPr>
          <w:rFonts w:cs="David"/>
          <w:b w:val="0"/>
          <w:bCs w:val="0"/>
          <w:sz w:val="26"/>
          <w:szCs w:val="26"/>
          <w:u w:val="none"/>
          <w:rtl/>
        </w:rPr>
      </w:pPr>
      <w:r>
        <w:rPr>
          <w:rFonts w:cs="David"/>
          <w:b w:val="0"/>
          <w:bCs w:val="0"/>
          <w:sz w:val="26"/>
          <w:szCs w:val="26"/>
          <w:u w:val="none"/>
          <w:rtl/>
        </w:rPr>
        <w:t xml:space="preserve">הצעת חוק זהה הונחה על שולחן הכנסת השש-עשרה על-ידי חברת הכנסת לאה נס (פ/4123). </w:t>
      </w:r>
    </w:p>
    <w:p w:rsidR="00000000" w:rsidRDefault="00625083">
      <w:pPr>
        <w:pStyle w:val="a3"/>
        <w:jc w:val="left"/>
        <w:rPr>
          <w:rFonts w:cs="David"/>
          <w:b w:val="0"/>
          <w:bCs w:val="0"/>
          <w:sz w:val="26"/>
          <w:szCs w:val="26"/>
          <w:u w:val="none"/>
          <w:rtl/>
        </w:rPr>
      </w:pPr>
      <w:r>
        <w:rPr>
          <w:rFonts w:cs="David"/>
          <w:b w:val="0"/>
          <w:bCs w:val="0"/>
          <w:sz w:val="26"/>
          <w:szCs w:val="26"/>
          <w:u w:val="none"/>
          <w:rtl/>
        </w:rPr>
        <w:t>הצעות חוק ז</w:t>
      </w:r>
      <w:r>
        <w:rPr>
          <w:rFonts w:cs="David"/>
          <w:b w:val="0"/>
          <w:bCs w:val="0"/>
          <w:sz w:val="26"/>
          <w:szCs w:val="26"/>
          <w:u w:val="none"/>
          <w:rtl/>
        </w:rPr>
        <w:t xml:space="preserve">הות הונחו על שולחן הכנסת השבע-עשרה על-ידי חברי הכנסת אורי אריאל ואריה אלדד (פ/587), ועל-ידי חבר הכנסת יואל חסון (פ/712). </w:t>
      </w:r>
    </w:p>
    <w:p w:rsidR="00000000" w:rsidRDefault="00625083">
      <w:pPr>
        <w:pStyle w:val="a3"/>
        <w:spacing w:line="360" w:lineRule="auto"/>
        <w:jc w:val="left"/>
        <w:rPr>
          <w:rFonts w:cs="David"/>
          <w:b w:val="0"/>
          <w:bCs w:val="0"/>
          <w:sz w:val="26"/>
          <w:szCs w:val="26"/>
          <w:u w:val="none"/>
          <w:rtl/>
        </w:rPr>
      </w:pPr>
    </w:p>
    <w:p w:rsidR="00000000" w:rsidRDefault="00625083">
      <w:pPr>
        <w:pStyle w:val="a3"/>
        <w:spacing w:line="360" w:lineRule="auto"/>
        <w:jc w:val="left"/>
        <w:rPr>
          <w:rFonts w:cs="David"/>
          <w:b w:val="0"/>
          <w:bCs w:val="0"/>
          <w:sz w:val="26"/>
          <w:szCs w:val="26"/>
          <w:u w:val="none"/>
          <w:rtl/>
        </w:rPr>
      </w:pPr>
    </w:p>
    <w:p w:rsidR="00000000" w:rsidRDefault="00625083">
      <w:pPr>
        <w:pStyle w:val="a3"/>
        <w:spacing w:line="360" w:lineRule="auto"/>
        <w:jc w:val="left"/>
        <w:rPr>
          <w:rFonts w:cs="David"/>
          <w:b w:val="0"/>
          <w:bCs w:val="0"/>
          <w:sz w:val="26"/>
          <w:szCs w:val="26"/>
          <w:u w:val="none"/>
          <w:rtl/>
        </w:rPr>
      </w:pPr>
    </w:p>
    <w:p w:rsidR="00000000" w:rsidRDefault="00625083">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625083">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625083">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625083">
      <w:pPr>
        <w:pStyle w:val="a3"/>
        <w:spacing w:line="360" w:lineRule="auto"/>
        <w:jc w:val="left"/>
        <w:rPr>
          <w:rFonts w:cs="David"/>
          <w:b w:val="0"/>
          <w:bCs w:val="0"/>
          <w:sz w:val="26"/>
          <w:szCs w:val="26"/>
          <w:u w:val="none"/>
          <w:rtl/>
        </w:rPr>
      </w:pPr>
      <w:r>
        <w:rPr>
          <w:rFonts w:cs="David"/>
          <w:b w:val="0"/>
          <w:bCs w:val="0"/>
          <w:sz w:val="26"/>
          <w:szCs w:val="26"/>
          <w:u w:val="none"/>
          <w:rtl/>
        </w:rPr>
        <w:t>ל' בסיון התשס"ו – 26.6.06</w:t>
      </w:r>
    </w:p>
    <w:p w:rsidR="00000000" w:rsidRDefault="00625083">
      <w:pPr>
        <w:pStyle w:val="a3"/>
        <w:spacing w:line="360" w:lineRule="auto"/>
        <w:jc w:val="left"/>
        <w:rPr>
          <w:rFonts w:cs="David"/>
          <w:b w:val="0"/>
          <w:bCs w:val="0"/>
          <w:sz w:val="26"/>
          <w:szCs w:val="26"/>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25083">
      <w:r>
        <w:separator/>
      </w:r>
    </w:p>
  </w:endnote>
  <w:endnote w:type="continuationSeparator" w:id="0">
    <w:p w:rsidR="00000000" w:rsidRDefault="00625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25083">
      <w:r>
        <w:separator/>
      </w:r>
    </w:p>
  </w:footnote>
  <w:footnote w:type="continuationSeparator" w:id="0">
    <w:p w:rsidR="00000000" w:rsidRDefault="00625083">
      <w:r>
        <w:continuationSeparator/>
      </w:r>
    </w:p>
  </w:footnote>
  <w:footnote w:id="1">
    <w:p w:rsidR="00000000" w:rsidRDefault="00625083">
      <w:pPr>
        <w:pStyle w:val="aa"/>
      </w:pPr>
      <w:r>
        <w:rPr>
          <w:rStyle w:val="ac"/>
          <w:rFonts w:cs="David"/>
        </w:rPr>
        <w:footnoteRef/>
      </w:r>
      <w:r>
        <w:rPr>
          <w:rFonts w:cs="David"/>
        </w:rPr>
        <w:t xml:space="preserve"> </w:t>
      </w:r>
      <w:r>
        <w:rPr>
          <w:rFonts w:cs="David"/>
          <w:rtl/>
        </w:rPr>
        <w:t xml:space="preserve"> ס"ח התש</w:t>
      </w:r>
      <w:r>
        <w:rPr>
          <w:rFonts w:cs="David"/>
          <w:rtl/>
        </w:rPr>
        <w:t>נ"ו, עמ' 327.</w:t>
      </w:r>
    </w:p>
  </w:footnote>
  <w:footnote w:id="2">
    <w:p w:rsidR="00000000" w:rsidRDefault="00625083">
      <w:pPr>
        <w:pStyle w:val="aa"/>
      </w:pPr>
      <w:r>
        <w:rPr>
          <w:rStyle w:val="ac"/>
          <w:rFonts w:cs="David"/>
        </w:rPr>
        <w:footnoteRef/>
      </w:r>
      <w:r>
        <w:rPr>
          <w:rFonts w:cs="David"/>
        </w:rPr>
        <w:t xml:space="preserve"> </w:t>
      </w:r>
      <w:r>
        <w:rPr>
          <w:rFonts w:cs="David"/>
          <w:rtl/>
        </w:rPr>
        <w:t xml:space="preserve"> ס"ח התשל"ז, עמ' 226.</w:t>
      </w:r>
    </w:p>
  </w:footnote>
  <w:footnote w:id="3">
    <w:p w:rsidR="00000000" w:rsidRDefault="00625083">
      <w:pPr>
        <w:pStyle w:val="aa"/>
      </w:pPr>
      <w:r>
        <w:rPr>
          <w:rFonts w:cs="David"/>
          <w:rtl/>
        </w:rPr>
        <w:t xml:space="preserve"> </w:t>
      </w:r>
      <w:r>
        <w:rPr>
          <w:rStyle w:val="ac"/>
          <w:rFonts w:cs="David"/>
        </w:rPr>
        <w:footnoteRef/>
      </w:r>
      <w:r>
        <w:rPr>
          <w:rFonts w:cs="David"/>
          <w:rtl/>
        </w:rPr>
        <w:t xml:space="preserve"> ס"ח התשל"ז, עמ' 226. </w:t>
      </w:r>
    </w:p>
  </w:footnote>
  <w:footnote w:id="4">
    <w:p w:rsidR="00000000" w:rsidRDefault="00625083">
      <w:pPr>
        <w:pStyle w:val="aa"/>
      </w:pPr>
      <w:r>
        <w:rPr>
          <w:rStyle w:val="ac"/>
          <w:rFonts w:cs="David"/>
        </w:rPr>
        <w:footnoteRef/>
      </w:r>
      <w:r>
        <w:rPr>
          <w:rFonts w:cs="David"/>
        </w:rPr>
        <w:t xml:space="preserve"> </w:t>
      </w:r>
      <w:r>
        <w:rPr>
          <w:rFonts w:cs="David"/>
          <w:rtl/>
        </w:rPr>
        <w:t xml:space="preserve"> דיני מדינת ישראל, נוסח חדש 10, עמ' 266.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5083">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625083">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2997éåøé ùèøï  - æëåéåú äçåìä - ùîéøú ñåãéåú øôåàéú.doc"/>
    <w:docVar w:name="StartMode" w:val="2"/>
  </w:docVars>
  <w:rsids>
    <w:rsidRoot w:val="00625083"/>
    <w:rsid w:val="00625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jc w:val="center"/>
      <w:outlineLvl w:val="1"/>
    </w:pPr>
    <w:rPr>
      <w:sz w:val="32"/>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Body Text"/>
    <w:basedOn w:val="a"/>
    <w:link w:val="a9"/>
    <w:uiPriority w:val="99"/>
    <w:pPr>
      <w:jc w:val="both"/>
    </w:pPr>
    <w:rPr>
      <w:sz w:val="26"/>
      <w:szCs w:val="26"/>
    </w:r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jc w:val="both"/>
    </w:pPr>
    <w:rPr>
      <w:b/>
      <w:bCs/>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a">
    <w:name w:val="footnote text"/>
    <w:basedOn w:val="a"/>
    <w:link w:val="ab"/>
    <w:uiPriority w:val="99"/>
    <w:rPr>
      <w:sz w:val="20"/>
      <w:szCs w:val="20"/>
    </w:rPr>
  </w:style>
  <w:style w:type="character" w:customStyle="1" w:styleId="ab">
    <w:name w:val="טקסט הערת שוליים תו"/>
    <w:basedOn w:val="a0"/>
    <w:link w:val="aa"/>
    <w:uiPriority w:val="99"/>
    <w:semiHidden/>
    <w:rPr>
      <w:rFonts w:ascii="Times New Roman" w:hAnsi="Times New Roman" w:cs="Times New Roman"/>
      <w:sz w:val="20"/>
      <w:szCs w:val="20"/>
      <w:lang w:eastAsia="he-IL"/>
    </w:rPr>
  </w:style>
  <w:style w:type="character" w:styleId="ac">
    <w:name w:val="footnote reference"/>
    <w:basedOn w:val="a0"/>
    <w:uiPriority w:val="99"/>
    <w:rPr>
      <w:rFonts w:cs="Times New Roman"/>
      <w:vertAlign w:val="superscript"/>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471</Words>
  <Characters>2356</Characters>
  <Application>Microsoft Office Word</Application>
  <DocSecurity>0</DocSecurity>
  <Lines>19</Lines>
  <Paragraphs>5</Paragraphs>
  <ScaleCrop>false</ScaleCrop>
  <Company>knesset</Company>
  <LinksUpToDate>false</LinksUpToDate>
  <CharactersWithSpaces>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זכויות החולה (תיקון - שמירת סודיות רפואית), התשס"ו-2006</dc:title>
  <dc:subject/>
  <dc:creator>ozer_ariel</dc:creator>
  <cp:keywords/>
  <dc:description/>
  <cp:lastModifiedBy>שמואל כוכב</cp:lastModifiedBy>
  <cp:revision>2</cp:revision>
  <cp:lastPrinted>2006-06-22T06:14:00Z</cp:lastPrinted>
  <dcterms:created xsi:type="dcterms:W3CDTF">2015-02-03T19:25:00Z</dcterms:created>
  <dcterms:modified xsi:type="dcterms:W3CDTF">2015-02-03T19:25:00Z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יורי שטרן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03445206</vt:lpwstr>
  </property>
  <property fmtid="{D5CDD505-2E9C-101B-9397-08002B2CF9AE}" pid="10" name="מספר הצעת חוק למיון">
    <vt:lpwstr>713</vt:lpwstr>
  </property>
  <property fmtid="{D5CDD505-2E9C-101B-9397-08002B2CF9AE}" pid="11" name="SDDocDate">
    <vt:lpwstr>2006-06-22T00:00:00Z</vt:lpwstr>
  </property>
  <property fmtid="{D5CDD505-2E9C-101B-9397-08002B2CF9AE}" pid="12" name="SDHebDate">
    <vt:lpwstr>כ"ו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פ/713/17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