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006" w:rsidRDefault="00AA6006" w:rsidP="00AA6006">
      <w:pPr>
        <w:pStyle w:val="a3"/>
        <w:rPr>
          <w:b w:val="0"/>
          <w:bCs w:val="0"/>
          <w:sz w:val="26"/>
          <w:szCs w:val="26"/>
          <w:u w:val="none"/>
          <w:rtl/>
        </w:rPr>
      </w:pPr>
      <w:bookmarkStart w:id="0" w:name="_GoBack"/>
      <w:bookmarkEnd w:id="0"/>
      <w:r>
        <w:rPr>
          <w:u w:val="none"/>
          <w:rtl/>
        </w:rPr>
        <w:t>הכנסת השבע-עשרה</w:t>
      </w:r>
    </w:p>
    <w:p w:rsidR="00AA6006" w:rsidRDefault="00AA6006" w:rsidP="00AA6006">
      <w:pPr>
        <w:rPr>
          <w:rFonts w:cs="David"/>
          <w:sz w:val="26"/>
          <w:szCs w:val="26"/>
          <w:rtl/>
        </w:rPr>
      </w:pPr>
    </w:p>
    <w:p w:rsidR="00AA6006" w:rsidRDefault="00AA6006" w:rsidP="00AA6006">
      <w:pPr>
        <w:rPr>
          <w:rFonts w:cs="David"/>
          <w:sz w:val="26"/>
          <w:szCs w:val="26"/>
          <w:rtl/>
        </w:rPr>
      </w:pPr>
    </w:p>
    <w:tbl>
      <w:tblPr>
        <w:bidiVisual/>
        <w:tblW w:w="0" w:type="auto"/>
        <w:jc w:val="right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755"/>
      </w:tblGrid>
      <w:tr w:rsidR="00AA6006">
        <w:trPr>
          <w:jc w:val="right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6006" w:rsidRDefault="00AA6006" w:rsidP="00420F96">
            <w:pPr>
              <w:spacing w:after="120"/>
              <w:rPr>
                <w:rFonts w:cs="David"/>
                <w:sz w:val="26"/>
                <w:szCs w:val="26"/>
              </w:rPr>
            </w:pPr>
            <w:r>
              <w:rPr>
                <w:rFonts w:cs="David"/>
                <w:sz w:val="26"/>
                <w:szCs w:val="26"/>
                <w:rtl/>
              </w:rPr>
              <w:t>הצעת</w:t>
            </w:r>
            <w:r>
              <w:rPr>
                <w:rFonts w:cs="David"/>
                <w:sz w:val="26"/>
                <w:szCs w:val="26"/>
              </w:rPr>
              <w:t xml:space="preserve"> </w:t>
            </w:r>
            <w:r>
              <w:rPr>
                <w:rFonts w:cs="David"/>
                <w:sz w:val="26"/>
                <w:szCs w:val="26"/>
                <w:rtl/>
              </w:rPr>
              <w:t xml:space="preserve">חוק של חבר הכנסת </w:t>
            </w:r>
            <w:r w:rsidRPr="002D1441">
              <w:rPr>
                <w:rFonts w:cs="David"/>
                <w:b/>
                <w:bCs/>
                <w:sz w:val="26"/>
                <w:szCs w:val="26"/>
                <w:rtl/>
              </w:rPr>
              <w:t>גדעון סער</w:t>
            </w:r>
          </w:p>
        </w:tc>
      </w:tr>
    </w:tbl>
    <w:p w:rsidR="00AA6006" w:rsidRPr="00B545D7" w:rsidRDefault="00AA6006" w:rsidP="00AA6006">
      <w:pPr>
        <w:tabs>
          <w:tab w:val="left" w:pos="6581"/>
        </w:tabs>
        <w:rPr>
          <w:rFonts w:cs="David"/>
          <w:b/>
          <w:bCs/>
          <w:rtl/>
        </w:rPr>
      </w:pPr>
      <w:r>
        <w:rPr>
          <w:rFonts w:cs="David"/>
          <w:sz w:val="26"/>
          <w:szCs w:val="26"/>
          <w:rtl/>
        </w:rPr>
        <w:tab/>
      </w:r>
      <w:r w:rsidR="00B545D7" w:rsidRPr="00B545D7">
        <w:rPr>
          <w:rFonts w:cs="David" w:hint="cs"/>
          <w:b/>
          <w:bCs/>
          <w:rtl/>
        </w:rPr>
        <w:t>פ/89/17</w:t>
      </w:r>
      <w:r w:rsidRPr="00B545D7">
        <w:rPr>
          <w:rFonts w:cs="David"/>
          <w:b/>
          <w:bCs/>
          <w:rtl/>
        </w:rPr>
        <w:tab/>
      </w:r>
      <w:r w:rsidRPr="00B545D7">
        <w:rPr>
          <w:rFonts w:cs="David"/>
          <w:b/>
          <w:bCs/>
          <w:rtl/>
        </w:rPr>
        <w:tab/>
      </w:r>
      <w:r w:rsidRPr="00B545D7">
        <w:rPr>
          <w:rFonts w:cs="David"/>
          <w:b/>
          <w:bCs/>
          <w:rtl/>
        </w:rPr>
        <w:tab/>
      </w:r>
    </w:p>
    <w:p w:rsidR="00AA6006" w:rsidRDefault="00AA6006" w:rsidP="00AA6006">
      <w:pPr>
        <w:rPr>
          <w:rFonts w:cs="David"/>
          <w:sz w:val="26"/>
          <w:szCs w:val="26"/>
          <w:rtl/>
        </w:rPr>
      </w:pPr>
    </w:p>
    <w:p w:rsidR="00AA6006" w:rsidRDefault="00AA6006" w:rsidP="00AA6006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  <w:rtl/>
        </w:rPr>
        <w:t xml:space="preserve">הצעת חוק בתי המשפט (תיקון </w:t>
      </w:r>
      <w:r w:rsidR="00B545D7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/>
          <w:b/>
          <w:bCs/>
          <w:sz w:val="28"/>
          <w:szCs w:val="28"/>
          <w:rtl/>
        </w:rPr>
        <w:t xml:space="preserve">– </w:t>
      </w:r>
      <w:r w:rsidR="00B545D7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/>
          <w:b/>
          <w:bCs/>
          <w:sz w:val="28"/>
          <w:szCs w:val="28"/>
          <w:rtl/>
        </w:rPr>
        <w:t>תקופת צינון במועמדות חבר כנסת או שר למשרת שופט), התשס"ו-2006</w:t>
      </w:r>
    </w:p>
    <w:p w:rsidR="00AA6006" w:rsidRDefault="00AA6006" w:rsidP="00AA6006">
      <w:pPr>
        <w:rPr>
          <w:rFonts w:cs="David"/>
          <w:sz w:val="26"/>
          <w:szCs w:val="26"/>
          <w:rtl/>
        </w:rPr>
      </w:pPr>
    </w:p>
    <w:p w:rsidR="00AA6006" w:rsidRDefault="00AA6006" w:rsidP="00AA6006">
      <w:pPr>
        <w:rPr>
          <w:rFonts w:cs="David"/>
          <w:sz w:val="26"/>
          <w:szCs w:val="26"/>
          <w:rtl/>
        </w:rPr>
      </w:pPr>
    </w:p>
    <w:tbl>
      <w:tblPr>
        <w:bidiVisual/>
        <w:tblW w:w="0" w:type="auto"/>
        <w:tblInd w:w="-9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72"/>
        <w:gridCol w:w="662"/>
        <w:gridCol w:w="589"/>
        <w:gridCol w:w="6080"/>
      </w:tblGrid>
      <w:tr w:rsidR="00AA6006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006" w:rsidRDefault="00AA6006" w:rsidP="00420F96">
            <w:pPr>
              <w:spacing w:after="120"/>
              <w:rPr>
                <w:rFonts w:cs="David"/>
                <w:sz w:val="26"/>
                <w:szCs w:val="26"/>
              </w:rPr>
            </w:pPr>
            <w:r>
              <w:rPr>
                <w:rFonts w:cs="David"/>
                <w:sz w:val="26"/>
                <w:szCs w:val="26"/>
                <w:rtl/>
              </w:rPr>
              <w:t xml:space="preserve">תיקון סעיף </w:t>
            </w:r>
            <w:r w:rsidR="00403652">
              <w:rPr>
                <w:rFonts w:cs="David" w:hint="cs"/>
                <w:sz w:val="26"/>
                <w:szCs w:val="26"/>
                <w:rtl/>
              </w:rPr>
              <w:t>2</w:t>
            </w:r>
            <w:r>
              <w:rPr>
                <w:rFonts w:cs="David"/>
                <w:sz w:val="26"/>
                <w:szCs w:val="26"/>
                <w:rtl/>
              </w:rPr>
              <w:t>א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AA6006" w:rsidRDefault="00AA6006" w:rsidP="00420F96">
            <w:pPr>
              <w:spacing w:after="120"/>
              <w:rPr>
                <w:rFonts w:cs="David"/>
                <w:sz w:val="26"/>
                <w:szCs w:val="26"/>
              </w:rPr>
            </w:pPr>
            <w:r>
              <w:rPr>
                <w:rFonts w:cs="David"/>
                <w:sz w:val="26"/>
                <w:szCs w:val="26"/>
                <w:rtl/>
              </w:rPr>
              <w:t>1.</w:t>
            </w:r>
          </w:p>
        </w:tc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006" w:rsidRDefault="00AA6006" w:rsidP="00420F96">
            <w:pPr>
              <w:spacing w:after="120"/>
              <w:jc w:val="both"/>
              <w:rPr>
                <w:rFonts w:cs="David"/>
                <w:sz w:val="26"/>
                <w:szCs w:val="26"/>
              </w:rPr>
            </w:pPr>
            <w:r>
              <w:rPr>
                <w:rFonts w:cs="David"/>
                <w:sz w:val="26"/>
                <w:szCs w:val="26"/>
                <w:rtl/>
              </w:rPr>
              <w:t xml:space="preserve"> בחוק בתי המשפט [נוסח משולב], התשמ"ד-1984</w:t>
            </w:r>
            <w:r>
              <w:rPr>
                <w:rStyle w:val="a7"/>
                <w:rFonts w:cs="David"/>
                <w:sz w:val="26"/>
                <w:szCs w:val="26"/>
                <w:rtl/>
              </w:rPr>
              <w:footnoteReference w:id="1"/>
            </w:r>
            <w:r>
              <w:rPr>
                <w:rFonts w:cs="David"/>
                <w:sz w:val="26"/>
                <w:szCs w:val="26"/>
                <w:rtl/>
              </w:rPr>
              <w:t xml:space="preserve">, </w:t>
            </w:r>
            <w:r>
              <w:rPr>
                <w:rFonts w:cs="David" w:hint="cs"/>
                <w:sz w:val="26"/>
                <w:szCs w:val="26"/>
                <w:rtl/>
              </w:rPr>
              <w:t>בסעיף 2א, האמור בו יסומן "(א)" ואחריו</w:t>
            </w:r>
            <w:r>
              <w:rPr>
                <w:rFonts w:cs="David"/>
                <w:sz w:val="26"/>
                <w:szCs w:val="26"/>
                <w:rtl/>
              </w:rPr>
              <w:t xml:space="preserve"> יבוא:</w:t>
            </w:r>
          </w:p>
        </w:tc>
      </w:tr>
      <w:tr w:rsidR="00AA6006">
        <w:trPr>
          <w:cantSplit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006" w:rsidRDefault="00AA6006" w:rsidP="00420F96">
            <w:pPr>
              <w:spacing w:after="120"/>
              <w:rPr>
                <w:rFonts w:cs="David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AA6006" w:rsidRDefault="00AA6006" w:rsidP="00420F96">
            <w:pPr>
              <w:spacing w:after="120"/>
              <w:rPr>
                <w:rFonts w:cs="David"/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AA6006" w:rsidRDefault="00AA6006" w:rsidP="00420F96">
            <w:pPr>
              <w:spacing w:after="120"/>
              <w:rPr>
                <w:rFonts w:cs="David"/>
                <w:sz w:val="26"/>
                <w:szCs w:val="26"/>
              </w:rPr>
            </w:pPr>
            <w:r>
              <w:rPr>
                <w:rFonts w:cs="David" w:hint="cs"/>
                <w:sz w:val="26"/>
                <w:szCs w:val="26"/>
                <w:rtl/>
              </w:rPr>
              <w:t>"(ב)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</w:tcPr>
          <w:p w:rsidR="00AA6006" w:rsidRDefault="00AA6006" w:rsidP="00420F96">
            <w:pPr>
              <w:spacing w:after="120"/>
              <w:jc w:val="both"/>
              <w:rPr>
                <w:rFonts w:cs="David"/>
                <w:sz w:val="26"/>
                <w:szCs w:val="26"/>
              </w:rPr>
            </w:pPr>
            <w:r>
              <w:rPr>
                <w:rFonts w:cs="David"/>
                <w:sz w:val="26"/>
                <w:szCs w:val="26"/>
                <w:rtl/>
              </w:rPr>
              <w:t xml:space="preserve">לא יתמנה לשופט  מי שכיהן </w:t>
            </w:r>
            <w:r>
              <w:rPr>
                <w:rFonts w:cs="David" w:hint="cs"/>
                <w:sz w:val="26"/>
                <w:szCs w:val="26"/>
                <w:rtl/>
              </w:rPr>
              <w:t>כ</w:t>
            </w:r>
            <w:r>
              <w:rPr>
                <w:rFonts w:cs="David"/>
                <w:sz w:val="26"/>
                <w:szCs w:val="26"/>
                <w:rtl/>
              </w:rPr>
              <w:t xml:space="preserve">חבר כנסת או </w:t>
            </w:r>
            <w:r>
              <w:rPr>
                <w:rFonts w:cs="David" w:hint="cs"/>
                <w:sz w:val="26"/>
                <w:szCs w:val="26"/>
                <w:rtl/>
              </w:rPr>
              <w:t>כ</w:t>
            </w:r>
            <w:r>
              <w:rPr>
                <w:rFonts w:cs="David"/>
                <w:sz w:val="26"/>
                <w:szCs w:val="26"/>
                <w:rtl/>
              </w:rPr>
              <w:t>שר, אלא אם כן עברה תקופה של עשר שנים מיום סיום כהונתו."</w:t>
            </w:r>
          </w:p>
        </w:tc>
      </w:tr>
    </w:tbl>
    <w:p w:rsidR="00AA6006" w:rsidRDefault="00AA6006" w:rsidP="00AA6006">
      <w:pPr>
        <w:rPr>
          <w:rFonts w:cs="David"/>
          <w:sz w:val="26"/>
          <w:szCs w:val="26"/>
          <w:rtl/>
        </w:rPr>
      </w:pPr>
    </w:p>
    <w:p w:rsidR="00AA6006" w:rsidRDefault="00AA6006" w:rsidP="00AA6006">
      <w:pPr>
        <w:jc w:val="both"/>
        <w:rPr>
          <w:rFonts w:cs="David"/>
          <w:sz w:val="26"/>
          <w:szCs w:val="26"/>
          <w:rtl/>
        </w:rPr>
      </w:pPr>
    </w:p>
    <w:p w:rsidR="00AA6006" w:rsidRDefault="00AA6006" w:rsidP="00AA6006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>דברי – הסבר</w:t>
      </w:r>
    </w:p>
    <w:p w:rsidR="00AA6006" w:rsidRDefault="00AA6006" w:rsidP="00AA6006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AA6006" w:rsidRDefault="00AA6006" w:rsidP="00AA6006">
      <w:pPr>
        <w:pStyle w:val="3"/>
        <w:rPr>
          <w:rFonts w:cs="David"/>
          <w:szCs w:val="26"/>
          <w:rtl/>
        </w:rPr>
      </w:pPr>
      <w:r>
        <w:rPr>
          <w:rFonts w:cs="David"/>
          <w:szCs w:val="26"/>
          <w:rtl/>
        </w:rPr>
        <w:t>ביסוד הצעת חוק זאת העיקרון הידוע של הפרדת הרשויות. בענייננו</w:t>
      </w:r>
      <w:r>
        <w:rPr>
          <w:rFonts w:cs="David" w:hint="cs"/>
          <w:szCs w:val="26"/>
          <w:rtl/>
        </w:rPr>
        <w:t xml:space="preserve">, ההפרדה בין </w:t>
      </w:r>
      <w:r>
        <w:rPr>
          <w:rFonts w:cs="David"/>
          <w:szCs w:val="26"/>
          <w:rtl/>
        </w:rPr>
        <w:t>מי שממלא תפקיד נבחר ברשות המחוקקת או המבצעת לבין אפשרות כהונה בבית המשפט .</w:t>
      </w:r>
    </w:p>
    <w:p w:rsidR="00AA6006" w:rsidRDefault="00AA6006" w:rsidP="00AA6006">
      <w:pPr>
        <w:jc w:val="both"/>
        <w:rPr>
          <w:sz w:val="26"/>
          <w:szCs w:val="26"/>
          <w:rtl/>
        </w:rPr>
      </w:pPr>
    </w:p>
    <w:p w:rsidR="00AA6006" w:rsidRDefault="00AA6006" w:rsidP="00AA6006">
      <w:pPr>
        <w:pStyle w:val="2"/>
        <w:jc w:val="both"/>
        <w:rPr>
          <w:rFonts w:cs="David"/>
          <w:b w:val="0"/>
          <w:bCs w:val="0"/>
          <w:rtl/>
        </w:rPr>
      </w:pPr>
      <w:r>
        <w:rPr>
          <w:rFonts w:cs="David"/>
          <w:b w:val="0"/>
          <w:bCs w:val="0"/>
          <w:rtl/>
        </w:rPr>
        <w:t xml:space="preserve">דו"ח </w:t>
      </w:r>
      <w:r>
        <w:rPr>
          <w:rFonts w:cs="David" w:hint="cs"/>
          <w:b w:val="0"/>
          <w:bCs w:val="0"/>
          <w:rtl/>
        </w:rPr>
        <w:t xml:space="preserve">הועדה הציבורית לבחירת דרכי המינוי של היועץ המשפטי לממשלה ונושאים הקשורים לכהונתו, בראשות נשיא בית המשפט העליון מאיר שמגר, </w:t>
      </w:r>
      <w:r>
        <w:rPr>
          <w:rFonts w:cs="David"/>
          <w:b w:val="0"/>
          <w:bCs w:val="0"/>
          <w:rtl/>
        </w:rPr>
        <w:t xml:space="preserve">קבע </w:t>
      </w:r>
      <w:r>
        <w:rPr>
          <w:rFonts w:cs="David" w:hint="cs"/>
          <w:b w:val="0"/>
          <w:bCs w:val="0"/>
          <w:rtl/>
        </w:rPr>
        <w:t>ב</w:t>
      </w:r>
      <w:r>
        <w:rPr>
          <w:rFonts w:cs="David"/>
          <w:b w:val="0"/>
          <w:bCs w:val="0"/>
          <w:rtl/>
        </w:rPr>
        <w:t xml:space="preserve">כי "אין למנות יועץ משפטי המעורב אותה שעה בפעילות פוליטית מן הסוג שנדון בחוק שירות המדינה (סיוג פעילות מפלגתית ומגבית כספים), </w:t>
      </w:r>
      <w:proofErr w:type="spellStart"/>
      <w:r>
        <w:rPr>
          <w:rFonts w:cs="David"/>
          <w:b w:val="0"/>
          <w:bCs w:val="0"/>
          <w:rtl/>
        </w:rPr>
        <w:t>התש"יט</w:t>
      </w:r>
      <w:proofErr w:type="spellEnd"/>
      <w:r>
        <w:rPr>
          <w:rFonts w:cs="David"/>
          <w:b w:val="0"/>
          <w:bCs w:val="0"/>
          <w:rtl/>
        </w:rPr>
        <w:t xml:space="preserve"> 1959, ולא יתמנה פעיל לשעבר כאמור, אם טרם חלפה תקופת צינון של שלוש שנים מאז שפסק מפעילותו". </w:t>
      </w:r>
      <w:r>
        <w:rPr>
          <w:rFonts w:cs="David" w:hint="cs"/>
          <w:b w:val="0"/>
          <w:bCs w:val="0"/>
          <w:rtl/>
        </w:rPr>
        <w:t>[בעמ' 61 לדו"ח]</w:t>
      </w:r>
    </w:p>
    <w:p w:rsidR="00AA6006" w:rsidRDefault="00AA6006" w:rsidP="00AA6006">
      <w:pPr>
        <w:pStyle w:val="2"/>
        <w:jc w:val="both"/>
        <w:rPr>
          <w:rFonts w:cs="David"/>
          <w:b w:val="0"/>
          <w:bCs w:val="0"/>
          <w:rtl/>
        </w:rPr>
      </w:pPr>
    </w:p>
    <w:p w:rsidR="00AA6006" w:rsidRDefault="00AA6006" w:rsidP="00AA6006">
      <w:pPr>
        <w:pStyle w:val="2"/>
        <w:jc w:val="both"/>
        <w:rPr>
          <w:rFonts w:cs="David"/>
          <w:b w:val="0"/>
          <w:bCs w:val="0"/>
          <w:rtl/>
        </w:rPr>
      </w:pPr>
      <w:r>
        <w:rPr>
          <w:rFonts w:cs="David"/>
          <w:b w:val="0"/>
          <w:bCs w:val="0"/>
          <w:rtl/>
        </w:rPr>
        <w:t>כיום, אין שום סעיף בחוק הקובע כי על שר או חבר כנסת לעבור תקופת צינון לפני מינוי למשרת שופט. מצב זה אינו סביר.</w:t>
      </w:r>
    </w:p>
    <w:p w:rsidR="00AA6006" w:rsidRDefault="00AA6006" w:rsidP="00AA6006">
      <w:pPr>
        <w:jc w:val="both"/>
        <w:rPr>
          <w:rFonts w:cs="David"/>
          <w:sz w:val="26"/>
          <w:szCs w:val="26"/>
          <w:rtl/>
        </w:rPr>
      </w:pPr>
      <w:r>
        <w:rPr>
          <w:rFonts w:cs="David"/>
          <w:sz w:val="26"/>
          <w:szCs w:val="26"/>
          <w:rtl/>
        </w:rPr>
        <w:t xml:space="preserve">תקופת צינון של עשר שנים לחבר כנסת או שר המבקשים להתמנות לשופט הינה תקופה הולמת. </w:t>
      </w:r>
    </w:p>
    <w:p w:rsidR="00AA6006" w:rsidRPr="00E91938" w:rsidRDefault="00AA6006" w:rsidP="00AA6006">
      <w:pPr>
        <w:jc w:val="both"/>
        <w:rPr>
          <w:rFonts w:cs="David"/>
          <w:sz w:val="26"/>
          <w:szCs w:val="26"/>
          <w:rtl/>
        </w:rPr>
      </w:pPr>
      <w:r w:rsidRPr="00E91938">
        <w:rPr>
          <w:rFonts w:cs="David"/>
          <w:sz w:val="26"/>
          <w:szCs w:val="26"/>
          <w:rtl/>
        </w:rPr>
        <w:t>קידום הצעת החוק יתרום לאמון הציבור במערכת המשפט ובמערכת הפוליטית גם יחד.</w:t>
      </w:r>
    </w:p>
    <w:p w:rsidR="00AA6006" w:rsidRDefault="00AA6006" w:rsidP="00AA6006">
      <w:pPr>
        <w:jc w:val="both"/>
        <w:rPr>
          <w:rFonts w:cs="David"/>
          <w:sz w:val="26"/>
          <w:szCs w:val="26"/>
          <w:rtl/>
        </w:rPr>
      </w:pPr>
    </w:p>
    <w:p w:rsidR="00AA6006" w:rsidRDefault="00AA6006" w:rsidP="00AA6006">
      <w:pPr>
        <w:jc w:val="both"/>
        <w:rPr>
          <w:rtl/>
        </w:rPr>
      </w:pPr>
      <w:r w:rsidRPr="00E91938">
        <w:rPr>
          <w:rFonts w:cs="David"/>
          <w:sz w:val="26"/>
          <w:szCs w:val="26"/>
          <w:rtl/>
        </w:rPr>
        <w:t xml:space="preserve">הצעת חוק </w:t>
      </w:r>
      <w:r>
        <w:rPr>
          <w:rFonts w:cs="David" w:hint="cs"/>
          <w:sz w:val="26"/>
          <w:szCs w:val="26"/>
          <w:rtl/>
        </w:rPr>
        <w:t xml:space="preserve">דומה בעיקרה הוגשה </w:t>
      </w:r>
      <w:r>
        <w:rPr>
          <w:rFonts w:cs="David"/>
          <w:sz w:val="26"/>
          <w:szCs w:val="26"/>
          <w:rtl/>
        </w:rPr>
        <w:t>בכנסת השש- עשרה ע</w:t>
      </w:r>
      <w:r>
        <w:rPr>
          <w:rFonts w:cs="David" w:hint="cs"/>
          <w:sz w:val="26"/>
          <w:szCs w:val="26"/>
          <w:rtl/>
        </w:rPr>
        <w:t xml:space="preserve">ל ידי </w:t>
      </w:r>
      <w:r w:rsidRPr="00E91938">
        <w:rPr>
          <w:rFonts w:cs="David"/>
          <w:sz w:val="26"/>
          <w:szCs w:val="26"/>
          <w:rtl/>
        </w:rPr>
        <w:t>חבר</w:t>
      </w:r>
      <w:r>
        <w:rPr>
          <w:rFonts w:cs="David"/>
          <w:sz w:val="26"/>
          <w:szCs w:val="26"/>
          <w:rtl/>
        </w:rPr>
        <w:t xml:space="preserve"> </w:t>
      </w:r>
      <w:r w:rsidRPr="00E91938">
        <w:rPr>
          <w:rFonts w:cs="David"/>
          <w:sz w:val="26"/>
          <w:szCs w:val="26"/>
          <w:rtl/>
        </w:rPr>
        <w:t>הכנסת גדעון סער</w:t>
      </w:r>
      <w:r>
        <w:rPr>
          <w:rFonts w:cs="David" w:hint="cs"/>
          <w:sz w:val="26"/>
          <w:szCs w:val="26"/>
          <w:rtl/>
        </w:rPr>
        <w:t xml:space="preserve"> (פ</w:t>
      </w:r>
      <w:r w:rsidRPr="00E91938">
        <w:rPr>
          <w:rFonts w:cs="David"/>
          <w:sz w:val="26"/>
          <w:szCs w:val="26"/>
          <w:rtl/>
        </w:rPr>
        <w:t>/3860</w:t>
      </w:r>
      <w:r>
        <w:rPr>
          <w:rFonts w:cs="David" w:hint="cs"/>
          <w:sz w:val="26"/>
          <w:szCs w:val="26"/>
          <w:rtl/>
        </w:rPr>
        <w:t xml:space="preserve">). </w:t>
      </w:r>
    </w:p>
    <w:p w:rsidR="00AA6006" w:rsidRDefault="00AA6006" w:rsidP="00AA6006">
      <w:pPr>
        <w:rPr>
          <w:rtl/>
        </w:rPr>
      </w:pPr>
    </w:p>
    <w:p w:rsidR="00AA6006" w:rsidRDefault="00AA6006" w:rsidP="00AA6006">
      <w:pPr>
        <w:pStyle w:val="a3"/>
        <w:jc w:val="left"/>
        <w:rPr>
          <w:u w:val="none"/>
          <w:rtl/>
        </w:rPr>
      </w:pPr>
    </w:p>
    <w:p w:rsidR="00403652" w:rsidRDefault="00403652" w:rsidP="00AA6006">
      <w:pPr>
        <w:pStyle w:val="a3"/>
        <w:jc w:val="left"/>
        <w:rPr>
          <w:u w:val="none"/>
        </w:rPr>
      </w:pPr>
    </w:p>
    <w:p w:rsidR="00403652" w:rsidRDefault="00403652" w:rsidP="00403652">
      <w:pPr>
        <w:jc w:val="both"/>
        <w:rPr>
          <w:rFonts w:cs="David"/>
          <w:sz w:val="26"/>
          <w:szCs w:val="26"/>
          <w:rtl/>
        </w:rPr>
      </w:pPr>
      <w:r>
        <w:rPr>
          <w:rFonts w:cs="David"/>
          <w:sz w:val="26"/>
          <w:szCs w:val="26"/>
          <w:rtl/>
        </w:rPr>
        <w:t>---------------------------------</w:t>
      </w:r>
    </w:p>
    <w:p w:rsidR="00403652" w:rsidRDefault="00403652" w:rsidP="00403652">
      <w:pPr>
        <w:jc w:val="both"/>
        <w:rPr>
          <w:rFonts w:cs="David"/>
          <w:sz w:val="26"/>
          <w:szCs w:val="26"/>
          <w:rtl/>
        </w:rPr>
      </w:pPr>
      <w:r>
        <w:rPr>
          <w:rFonts w:cs="David"/>
          <w:sz w:val="26"/>
          <w:szCs w:val="26"/>
          <w:rtl/>
        </w:rPr>
        <w:t>הוגשה ליו"ר הכנסת והסגנים</w:t>
      </w:r>
    </w:p>
    <w:p w:rsidR="00403652" w:rsidRDefault="00403652" w:rsidP="00403652">
      <w:pPr>
        <w:jc w:val="both"/>
        <w:rPr>
          <w:rFonts w:cs="David"/>
          <w:sz w:val="26"/>
          <w:szCs w:val="26"/>
          <w:rtl/>
        </w:rPr>
      </w:pPr>
      <w:r>
        <w:rPr>
          <w:rFonts w:cs="David"/>
          <w:sz w:val="26"/>
          <w:szCs w:val="26"/>
          <w:rtl/>
        </w:rPr>
        <w:t>והונחה על שולחן הכנסת ביום</w:t>
      </w:r>
    </w:p>
    <w:p w:rsidR="009873FF" w:rsidRDefault="00B545D7">
      <w:pPr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י"ז באייר </w:t>
      </w:r>
      <w:proofErr w:type="spellStart"/>
      <w:r>
        <w:rPr>
          <w:rFonts w:cs="David" w:hint="cs"/>
          <w:sz w:val="26"/>
          <w:szCs w:val="26"/>
          <w:rtl/>
        </w:rPr>
        <w:t>התשס"ו</w:t>
      </w:r>
      <w:proofErr w:type="spellEnd"/>
      <w:r>
        <w:rPr>
          <w:rFonts w:cs="David" w:hint="cs"/>
          <w:sz w:val="26"/>
          <w:szCs w:val="26"/>
          <w:rtl/>
        </w:rPr>
        <w:t xml:space="preserve"> </w:t>
      </w:r>
      <w:r>
        <w:rPr>
          <w:rFonts w:cs="David"/>
          <w:sz w:val="26"/>
          <w:szCs w:val="26"/>
          <w:rtl/>
        </w:rPr>
        <w:t>–</w:t>
      </w:r>
      <w:r>
        <w:rPr>
          <w:rFonts w:cs="David" w:hint="cs"/>
          <w:sz w:val="26"/>
          <w:szCs w:val="26"/>
          <w:rtl/>
        </w:rPr>
        <w:t xml:space="preserve"> 15.5.06 </w:t>
      </w:r>
    </w:p>
    <w:p w:rsidR="00403652" w:rsidRPr="00403652" w:rsidRDefault="00403652"/>
    <w:sectPr w:rsidR="00403652" w:rsidRPr="00403652">
      <w:headerReference w:type="even" r:id="rId9"/>
      <w:headerReference w:type="default" r:id="rId10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33B" w:rsidRDefault="000B033B">
      <w:r>
        <w:separator/>
      </w:r>
    </w:p>
  </w:endnote>
  <w:endnote w:type="continuationSeparator" w:id="0">
    <w:p w:rsidR="000B033B" w:rsidRDefault="000B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33B" w:rsidRDefault="000B033B">
      <w:r>
        <w:separator/>
      </w:r>
    </w:p>
  </w:footnote>
  <w:footnote w:type="continuationSeparator" w:id="0">
    <w:p w:rsidR="000B033B" w:rsidRDefault="000B033B">
      <w:r>
        <w:continuationSeparator/>
      </w:r>
    </w:p>
  </w:footnote>
  <w:footnote w:id="1">
    <w:p w:rsidR="000B033B" w:rsidRDefault="000B033B" w:rsidP="00AA6006">
      <w:pPr>
        <w:pStyle w:val="a6"/>
      </w:pPr>
      <w:r>
        <w:rPr>
          <w:rStyle w:val="a7"/>
        </w:rPr>
        <w:footnoteRef/>
      </w:r>
      <w:r>
        <w:rPr>
          <w:rtl/>
        </w:rPr>
        <w:t xml:space="preserve"> ס"ח </w:t>
      </w:r>
      <w:proofErr w:type="spellStart"/>
      <w:r>
        <w:rPr>
          <w:rtl/>
        </w:rPr>
        <w:t>התשמ"ד</w:t>
      </w:r>
      <w:proofErr w:type="spellEnd"/>
      <w:r>
        <w:rPr>
          <w:rtl/>
        </w:rPr>
        <w:t>, עמ' 198.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33B" w:rsidRDefault="000B033B">
    <w:pPr>
      <w:pStyle w:val="a4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0B033B" w:rsidRDefault="000B033B">
    <w:pPr>
      <w:pStyle w:val="a4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33B" w:rsidRDefault="000B033B">
    <w:pPr>
      <w:pStyle w:val="a4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</w:p>
  <w:p w:rsidR="000B033B" w:rsidRDefault="000B033B">
    <w:pPr>
      <w:pStyle w:val="a4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130426גדעון סער - חוק בתי המשפט תקופת צינון.doc"/>
    <w:docVar w:name="StartMode" w:val="2"/>
  </w:docVars>
  <w:rsids>
    <w:rsidRoot w:val="00AA6006"/>
    <w:rsid w:val="00042C27"/>
    <w:rsid w:val="000B033B"/>
    <w:rsid w:val="000F0590"/>
    <w:rsid w:val="00150BB0"/>
    <w:rsid w:val="00177ECE"/>
    <w:rsid w:val="00403652"/>
    <w:rsid w:val="00420F96"/>
    <w:rsid w:val="0059778B"/>
    <w:rsid w:val="00817CE6"/>
    <w:rsid w:val="009873FF"/>
    <w:rsid w:val="00AA6006"/>
    <w:rsid w:val="00B545D7"/>
    <w:rsid w:val="00F0755A"/>
    <w:rsid w:val="00F3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0544D2-05C9-4321-A639-ACEA2C44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06"/>
    <w:pPr>
      <w:bidi/>
    </w:pPr>
    <w:rPr>
      <w:sz w:val="24"/>
      <w:szCs w:val="24"/>
      <w:lang w:eastAsia="he-IL"/>
    </w:rPr>
  </w:style>
  <w:style w:type="paragraph" w:styleId="2">
    <w:name w:val="heading 2"/>
    <w:basedOn w:val="a"/>
    <w:next w:val="a"/>
    <w:qFormat/>
    <w:rsid w:val="00AA6006"/>
    <w:pPr>
      <w:keepNext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qFormat/>
    <w:rsid w:val="00AA6006"/>
    <w:pPr>
      <w:keepNext/>
      <w:jc w:val="both"/>
      <w:outlineLvl w:val="2"/>
    </w:pPr>
    <w:rPr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A6006"/>
    <w:pPr>
      <w:jc w:val="center"/>
    </w:pPr>
    <w:rPr>
      <w:rFonts w:cs="David"/>
      <w:b/>
      <w:bCs/>
      <w:sz w:val="28"/>
      <w:szCs w:val="28"/>
      <w:u w:val="single"/>
    </w:rPr>
  </w:style>
  <w:style w:type="paragraph" w:styleId="a4">
    <w:name w:val="header"/>
    <w:basedOn w:val="a"/>
    <w:rsid w:val="00AA600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A6006"/>
  </w:style>
  <w:style w:type="paragraph" w:styleId="a6">
    <w:name w:val="footnote text"/>
    <w:basedOn w:val="a"/>
    <w:semiHidden/>
    <w:rsid w:val="00AA6006"/>
    <w:rPr>
      <w:sz w:val="20"/>
      <w:szCs w:val="20"/>
    </w:rPr>
  </w:style>
  <w:style w:type="character" w:styleId="a7">
    <w:name w:val="footnote reference"/>
    <w:basedOn w:val="a0"/>
    <w:semiHidden/>
    <w:rsid w:val="00AA600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nhedrinLibrary" ma:contentTypeID="0x0101004AEDB822EB0F7C488BBBAE3C0C973DE7007B5169F891EDFE45ACBB09C66665E386" ma:contentTypeVersion="" ma:contentTypeDescription="" ma:contentTypeScope="" ma:versionID="d31c01f67f2a5ff85e4f108dec46bcbc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65d88d56368b3cfebd298e6271d6c5a2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anhedrinDocumentType"/>
                <xsd:element ref="ns2:SanhedrinItemI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anhedrinDocumentType" ma:index="8" ma:displayName="SanhedrinDocumentType" ma:decimals="0" ma:internalName="SanhedrinDocumentType" ma:readOnly="false">
      <xsd:simpleType>
        <xsd:restriction base="dms:Number"/>
      </xsd:simpleType>
    </xsd:element>
    <xsd:element name="SanhedrinItemID" ma:index="9" ma:displayName="SanhedrinItemID" ma:decimals="0" ma:internalName="SanhedrinItemID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nhedrinItemID xmlns="290d5b49-c690-4c6f-bbb9-1e50dab33eee">130426</SanhedrinItemID>
    <SanhedrinDocumentType xmlns="290d5b49-c690-4c6f-bbb9-1e50dab33eee">210</SanhedrinDocumentType>
  </documentManagement>
</p:properties>
</file>

<file path=customXml/itemProps1.xml><?xml version="1.0" encoding="utf-8"?>
<ds:datastoreItem xmlns:ds="http://schemas.openxmlformats.org/officeDocument/2006/customXml" ds:itemID="{E5919076-2C37-4039-9911-400FC17575E3}"/>
</file>

<file path=customXml/itemProps2.xml><?xml version="1.0" encoding="utf-8"?>
<ds:datastoreItem xmlns:ds="http://schemas.openxmlformats.org/officeDocument/2006/customXml" ds:itemID="{D41B2FAA-8D27-4BD7-808C-F37B8A4E4996}"/>
</file>

<file path=customXml/itemProps3.xml><?xml version="1.0" encoding="utf-8"?>
<ds:datastoreItem xmlns:ds="http://schemas.openxmlformats.org/officeDocument/2006/customXml" ds:itemID="{1AD6E78F-5BE0-456C-8490-DBCCEC83B8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הצעת חוק בתי המשפט [נוסח משולב] (תיקון - תקופת צינון במועמדות חבר כנסת או שר למשרת שופט), התשס"ו-2006</vt:lpstr>
    </vt:vector>
  </TitlesOfParts>
  <Company>knesset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הצעת חוק בתי המשפט [נוסח משולב] (תיקון - תקופת צינון במועמדות חבר כנסת או שר למשרת שופט), התשס"ו-2006</dc:title>
  <dc:subject/>
  <dc:creator>Knesset</dc:creator>
  <cp:keywords/>
  <dc:description/>
  <cp:lastModifiedBy>אינדה נובומינסקי</cp:lastModifiedBy>
  <cp:revision>2</cp:revision>
  <cp:lastPrinted>2006-05-14T10:31:00Z</cp:lastPrinted>
  <dcterms:created xsi:type="dcterms:W3CDTF">2021-01-12T06:04:00Z</dcterms:created>
  <dcterms:modified xsi:type="dcterms:W3CDTF">2021-01-12T06:04:00Z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eProfile">
    <vt:lpwstr>1298.00000000000</vt:lpwstr>
  </property>
  <property fmtid="{D5CDD505-2E9C-101B-9397-08002B2CF9AE}" pid="3" name="AutoNumber">
    <vt:lpwstr>02752806</vt:lpwstr>
  </property>
  <property fmtid="{D5CDD505-2E9C-101B-9397-08002B2CF9AE}" pid="4" name="SDDocDate">
    <vt:lpwstr>2006-05-14T00:00:00Z</vt:lpwstr>
  </property>
  <property fmtid="{D5CDD505-2E9C-101B-9397-08002B2CF9AE}" pid="5" name="SDHebDate">
    <vt:lpwstr>ט"ז באייר, התשס"ו</vt:lpwstr>
  </property>
  <property fmtid="{D5CDD505-2E9C-101B-9397-08002B2CF9AE}" pid="6" name="SDCategories">
    <vt:lpwstr>:דף הבית:נושאים:חקיקה:נוסח לדיון מוקדם;#:הלשכה המשפטית:הצעות חוק - כנסת 17;#</vt:lpwstr>
  </property>
  <property fmtid="{D5CDD505-2E9C-101B-9397-08002B2CF9AE}" pid="7" name="SDAuthor">
    <vt:lpwstr>כוכי שבתאי</vt:lpwstr>
  </property>
  <property fmtid="{D5CDD505-2E9C-101B-9397-08002B2CF9AE}" pid="8" name="YozemHatzaa_ChakList">
    <vt:lpwstr>גדעון סער</vt:lpwstr>
  </property>
  <property fmtid="{D5CDD505-2E9C-101B-9397-08002B2CF9AE}" pid="9" name="MisHatzaatChok">
    <vt:lpwstr>פ/89/17</vt:lpwstr>
  </property>
  <property fmtid="{D5CDD505-2E9C-101B-9397-08002B2CF9AE}" pid="10" name="SDOfflineTo">
    <vt:lpwstr/>
  </property>
  <property fmtid="{D5CDD505-2E9C-101B-9397-08002B2CF9AE}" pid="11" name="SDDistList">
    <vt:lpwstr/>
  </property>
  <property fmtid="{D5CDD505-2E9C-101B-9397-08002B2CF9AE}" pid="12" name="SDDistDate">
    <vt:lpwstr/>
  </property>
  <property fmtid="{D5CDD505-2E9C-101B-9397-08002B2CF9AE}" pid="13" name="SDOriginalID">
    <vt:lpwstr/>
  </property>
  <property fmtid="{D5CDD505-2E9C-101B-9397-08002B2CF9AE}" pid="14" name="SDSenderName">
    <vt:lpwstr/>
  </property>
  <property fmtid="{D5CDD505-2E9C-101B-9397-08002B2CF9AE}" pid="15" name="SDToList">
    <vt:lpwstr/>
  </property>
  <property fmtid="{D5CDD505-2E9C-101B-9397-08002B2CF9AE}" pid="16" name="SDCCList">
    <vt:lpwstr/>
  </property>
  <property fmtid="{D5CDD505-2E9C-101B-9397-08002B2CF9AE}" pid="17" name="STHasReminders">
    <vt:lpwstr>0</vt:lpwstr>
  </property>
  <property fmtid="{D5CDD505-2E9C-101B-9397-08002B2CF9AE}" pid="18" name="SDLink">
    <vt:lpwstr>, </vt:lpwstr>
  </property>
  <property fmtid="{D5CDD505-2E9C-101B-9397-08002B2CF9AE}" pid="19" name="Writer_UserList">
    <vt:lpwstr/>
  </property>
  <property fmtid="{D5CDD505-2E9C-101B-9397-08002B2CF9AE}" pid="20" name="NoseA">
    <vt:lpwstr/>
  </property>
  <property fmtid="{D5CDD505-2E9C-101B-9397-08002B2CF9AE}" pid="21" name="NoseB">
    <vt:lpwstr/>
  </property>
  <property fmtid="{D5CDD505-2E9C-101B-9397-08002B2CF9AE}" pid="22" name="To1">
    <vt:lpwstr/>
  </property>
  <property fmtid="{D5CDD505-2E9C-101B-9397-08002B2CF9AE}" pid="23" name="To">
    <vt:lpwstr/>
  </property>
  <property fmtid="{D5CDD505-2E9C-101B-9397-08002B2CF9AE}" pid="24" name="body">
    <vt:lpwstr/>
  </property>
  <property fmtid="{D5CDD505-2E9C-101B-9397-08002B2CF9AE}" pid="25" name="Cc">
    <vt:lpwstr/>
  </property>
  <property fmtid="{D5CDD505-2E9C-101B-9397-08002B2CF9AE}" pid="26" name="From">
    <vt:lpwstr/>
  </property>
  <property fmtid="{D5CDD505-2E9C-101B-9397-08002B2CF9AE}" pid="27" name="Metapel_UserList">
    <vt:lpwstr/>
  </property>
  <property fmtid="{D5CDD505-2E9C-101B-9397-08002B2CF9AE}" pid="28" name="יוזם הצעת החוק">
    <vt:lpwstr/>
  </property>
  <property fmtid="{D5CDD505-2E9C-101B-9397-08002B2CF9AE}" pid="29" name="מספר חוברת">
    <vt:lpwstr/>
  </property>
  <property fmtid="{D5CDD505-2E9C-101B-9397-08002B2CF9AE}" pid="30" name="ValidFrom">
    <vt:lpwstr/>
  </property>
  <property fmtid="{D5CDD505-2E9C-101B-9397-08002B2CF9AE}" pid="31" name="ValidUntill">
    <vt:lpwstr/>
  </property>
  <property fmtid="{D5CDD505-2E9C-101B-9397-08002B2CF9AE}" pid="32" name="HokDate1">
    <vt:lpwstr/>
  </property>
  <property fmtid="{D5CDD505-2E9C-101B-9397-08002B2CF9AE}" pid="33" name="HokNumBook">
    <vt:lpwstr/>
  </property>
  <property fmtid="{D5CDD505-2E9C-101B-9397-08002B2CF9AE}" pid="34" name="SDRemark">
    <vt:lpwstr/>
  </property>
  <property fmtid="{D5CDD505-2E9C-101B-9397-08002B2CF9AE}" pid="35" name="HebrewDate">
    <vt:lpwstr/>
  </property>
  <property fmtid="{D5CDD505-2E9C-101B-9397-08002B2CF9AE}" pid="36" name="MechaberMismach">
    <vt:lpwstr/>
  </property>
  <property fmtid="{D5CDD505-2E9C-101B-9397-08002B2CF9AE}" pid="37" name="ContentTypeId">
    <vt:lpwstr>0x0101004AEDB822EB0F7C488BBBAE3C0C973DE7007B5169F891EDFE45ACBB09C66665E386</vt:lpwstr>
  </property>
</Properties>
</file>