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877E5">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9877E5">
      <w:pPr>
        <w:rPr>
          <w:rFonts w:cs="David"/>
          <w:sz w:val="26"/>
          <w:szCs w:val="26"/>
          <w:rtl/>
        </w:rPr>
      </w:pPr>
    </w:p>
    <w:p w:rsidR="00000000" w:rsidRDefault="009877E5">
      <w:pPr>
        <w:rPr>
          <w:rFonts w:cs="David"/>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p>
    <w:tbl>
      <w:tblPr>
        <w:bidiVisual/>
        <w:tblW w:w="0" w:type="auto"/>
        <w:tblBorders>
          <w:bottom w:val="single" w:sz="4" w:space="0" w:color="auto"/>
        </w:tblBorders>
        <w:tblLook w:val="0000" w:firstRow="0" w:lastRow="0" w:firstColumn="0" w:lastColumn="0" w:noHBand="0" w:noVBand="0"/>
      </w:tblPr>
      <w:tblGrid>
        <w:gridCol w:w="2772"/>
        <w:gridCol w:w="1228"/>
      </w:tblGrid>
      <w:tr w:rsidR="00000000">
        <w:tc>
          <w:tcPr>
            <w:tcW w:w="2772" w:type="dxa"/>
            <w:tcBorders>
              <w:top w:val="nil"/>
              <w:left w:val="nil"/>
              <w:bottom w:val="single" w:sz="4" w:space="0" w:color="auto"/>
              <w:right w:val="nil"/>
            </w:tcBorders>
          </w:tcPr>
          <w:p w:rsidR="00000000" w:rsidRDefault="009877E5">
            <w:pPr>
              <w:spacing w:line="360" w:lineRule="auto"/>
              <w:rPr>
                <w:rFonts w:cs="David"/>
                <w:sz w:val="26"/>
                <w:szCs w:val="26"/>
                <w:rtl/>
              </w:rPr>
            </w:pPr>
            <w:r>
              <w:rPr>
                <w:rFonts w:cs="David"/>
                <w:sz w:val="26"/>
                <w:szCs w:val="26"/>
                <w:rtl/>
              </w:rPr>
              <w:t>הצעת חוק של חבר הכנסת</w:t>
            </w:r>
          </w:p>
        </w:tc>
        <w:tc>
          <w:tcPr>
            <w:tcW w:w="1228" w:type="dxa"/>
            <w:tcBorders>
              <w:top w:val="nil"/>
              <w:left w:val="nil"/>
              <w:bottom w:val="single" w:sz="4" w:space="0" w:color="auto"/>
              <w:right w:val="nil"/>
            </w:tcBorders>
          </w:tcPr>
          <w:p w:rsidR="00000000" w:rsidRDefault="009877E5">
            <w:pPr>
              <w:rPr>
                <w:rFonts w:cs="David"/>
                <w:b/>
                <w:bCs/>
                <w:sz w:val="26"/>
                <w:szCs w:val="26"/>
                <w:rtl/>
              </w:rPr>
            </w:pPr>
            <w:r>
              <w:rPr>
                <w:rFonts w:cs="David"/>
                <w:b/>
                <w:bCs/>
                <w:sz w:val="26"/>
                <w:szCs w:val="26"/>
                <w:rtl/>
              </w:rPr>
              <w:t>דני נווה</w:t>
            </w:r>
          </w:p>
        </w:tc>
      </w:tr>
    </w:tbl>
    <w:p w:rsidR="00000000" w:rsidRDefault="009877E5">
      <w:pP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פ/1479/17</w:t>
      </w:r>
    </w:p>
    <w:p w:rsidR="00000000" w:rsidRDefault="009877E5">
      <w:pPr>
        <w:rPr>
          <w:rFonts w:cs="David"/>
          <w:sz w:val="26"/>
          <w:szCs w:val="26"/>
          <w:rtl/>
        </w:rPr>
      </w:pPr>
    </w:p>
    <w:p w:rsidR="00000000" w:rsidRDefault="009877E5">
      <w:pPr>
        <w:jc w:val="center"/>
        <w:rPr>
          <w:rFonts w:cs="David"/>
          <w:b/>
          <w:bCs/>
          <w:sz w:val="28"/>
          <w:szCs w:val="28"/>
          <w:rtl/>
        </w:rPr>
      </w:pPr>
      <w:r>
        <w:rPr>
          <w:rFonts w:cs="David"/>
          <w:b/>
          <w:bCs/>
          <w:sz w:val="28"/>
          <w:szCs w:val="28"/>
          <w:rtl/>
        </w:rPr>
        <w:t xml:space="preserve">הצעת חוק ארוחה יומית לתלמיד (תיקון - החלת החוק ועדכון תפריט),  </w:t>
      </w:r>
    </w:p>
    <w:p w:rsidR="00000000" w:rsidRDefault="009877E5">
      <w:pPr>
        <w:jc w:val="center"/>
        <w:rPr>
          <w:rFonts w:cs="David"/>
          <w:b/>
          <w:bCs/>
          <w:sz w:val="28"/>
          <w:szCs w:val="28"/>
          <w:rtl/>
        </w:rPr>
      </w:pPr>
      <w:r>
        <w:rPr>
          <w:rFonts w:cs="David"/>
          <w:b/>
          <w:bCs/>
          <w:sz w:val="28"/>
          <w:szCs w:val="28"/>
          <w:rtl/>
        </w:rPr>
        <w:t>התשס"ו- 2006</w:t>
      </w:r>
    </w:p>
    <w:p w:rsidR="00000000" w:rsidRDefault="009877E5">
      <w:pPr>
        <w:rPr>
          <w:rFonts w:cs="David"/>
          <w:sz w:val="26"/>
          <w:szCs w:val="26"/>
          <w:rtl/>
        </w:rPr>
      </w:pPr>
    </w:p>
    <w:p w:rsidR="00000000" w:rsidRDefault="009877E5">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71"/>
        <w:gridCol w:w="549"/>
        <w:gridCol w:w="567"/>
        <w:gridCol w:w="567"/>
        <w:gridCol w:w="63"/>
        <w:gridCol w:w="504"/>
        <w:gridCol w:w="57"/>
        <w:gridCol w:w="567"/>
        <w:gridCol w:w="4375"/>
      </w:tblGrid>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Pr>
            </w:pPr>
            <w:r>
              <w:rPr>
                <w:rFonts w:cs="David"/>
                <w:sz w:val="26"/>
                <w:szCs w:val="26"/>
                <w:rtl/>
              </w:rPr>
              <w:t>תיקון סעיף 1</w:t>
            </w:r>
          </w:p>
        </w:tc>
        <w:tc>
          <w:tcPr>
            <w:tcW w:w="549" w:type="dxa"/>
            <w:tcBorders>
              <w:top w:val="nil"/>
              <w:left w:val="nil"/>
              <w:bottom w:val="nil"/>
              <w:right w:val="nil"/>
            </w:tcBorders>
          </w:tcPr>
          <w:p w:rsidR="00000000" w:rsidRDefault="009877E5">
            <w:pPr>
              <w:spacing w:after="160" w:line="360" w:lineRule="auto"/>
              <w:rPr>
                <w:rFonts w:cs="David"/>
                <w:sz w:val="26"/>
                <w:szCs w:val="26"/>
              </w:rPr>
            </w:pPr>
            <w:r>
              <w:rPr>
                <w:rFonts w:cs="David"/>
                <w:sz w:val="26"/>
                <w:szCs w:val="26"/>
                <w:rtl/>
              </w:rPr>
              <w:t>1.</w:t>
            </w:r>
          </w:p>
        </w:tc>
        <w:tc>
          <w:tcPr>
            <w:tcW w:w="6700" w:type="dxa"/>
            <w:gridSpan w:val="7"/>
            <w:tcBorders>
              <w:top w:val="nil"/>
              <w:left w:val="nil"/>
              <w:bottom w:val="nil"/>
              <w:right w:val="nil"/>
            </w:tcBorders>
          </w:tcPr>
          <w:p w:rsidR="00000000" w:rsidRDefault="009877E5">
            <w:pPr>
              <w:spacing w:after="160" w:line="360" w:lineRule="auto"/>
              <w:jc w:val="both"/>
              <w:rPr>
                <w:rFonts w:cs="David"/>
                <w:sz w:val="26"/>
                <w:szCs w:val="26"/>
                <w:rtl/>
              </w:rPr>
            </w:pPr>
            <w:r>
              <w:rPr>
                <w:rFonts w:cs="David"/>
                <w:sz w:val="26"/>
                <w:szCs w:val="26"/>
                <w:rtl/>
              </w:rPr>
              <w:t>בחוק ארוחה יומית לתלמיד, התשס"ה- 2005</w:t>
            </w:r>
            <w:r>
              <w:rPr>
                <w:rStyle w:val="aa"/>
                <w:sz w:val="26"/>
                <w:szCs w:val="26"/>
                <w:rtl/>
              </w:rPr>
              <w:footnoteReference w:id="1"/>
            </w:r>
            <w:r>
              <w:rPr>
                <w:rFonts w:cs="David"/>
                <w:sz w:val="26"/>
                <w:szCs w:val="26"/>
                <w:rtl/>
              </w:rPr>
              <w:t xml:space="preserve"> (להלן- החוק), בסעיף 1, אחרי ההגדרה "רשות חינוך מ</w:t>
            </w:r>
            <w:r>
              <w:rPr>
                <w:rFonts w:cs="David"/>
                <w:sz w:val="26"/>
                <w:szCs w:val="26"/>
                <w:rtl/>
              </w:rPr>
              <w:t>קומית" יבוא:</w:t>
            </w:r>
          </w:p>
          <w:p w:rsidR="00000000" w:rsidRDefault="009877E5">
            <w:pPr>
              <w:spacing w:after="160" w:line="360" w:lineRule="auto"/>
              <w:jc w:val="both"/>
              <w:rPr>
                <w:rFonts w:cs="David"/>
                <w:sz w:val="26"/>
                <w:szCs w:val="26"/>
                <w:rtl/>
              </w:rPr>
            </w:pPr>
            <w:r>
              <w:rPr>
                <w:rFonts w:cs="David"/>
                <w:sz w:val="26"/>
                <w:szCs w:val="26"/>
                <w:rtl/>
              </w:rPr>
              <w:t xml:space="preserve">"רשימת אשכולות" - רשימה המתפרסמת על ידי הלשכה המרכזית לסטטיסטיקה והכוללת חלוקה של רשויות מקומיות לאשכולות, על פי הרמה החברתית-כלכלית של האוכלוסייה;" </w:t>
            </w:r>
          </w:p>
          <w:p w:rsidR="00000000" w:rsidRDefault="009877E5">
            <w:pPr>
              <w:spacing w:after="160" w:line="360" w:lineRule="auto"/>
              <w:jc w:val="both"/>
              <w:rPr>
                <w:rFonts w:cs="David"/>
                <w:sz w:val="26"/>
                <w:szCs w:val="26"/>
              </w:rPr>
            </w:pP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r>
              <w:rPr>
                <w:rFonts w:cs="David"/>
                <w:sz w:val="26"/>
                <w:szCs w:val="26"/>
                <w:rtl/>
              </w:rPr>
              <w:t>תיקון סעיף 3</w:t>
            </w:r>
          </w:p>
        </w:tc>
        <w:tc>
          <w:tcPr>
            <w:tcW w:w="549"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2.</w:t>
            </w:r>
          </w:p>
        </w:tc>
        <w:tc>
          <w:tcPr>
            <w:tcW w:w="6700" w:type="dxa"/>
            <w:gridSpan w:val="7"/>
            <w:tcBorders>
              <w:top w:val="nil"/>
              <w:left w:val="nil"/>
              <w:bottom w:val="nil"/>
              <w:right w:val="nil"/>
            </w:tcBorders>
          </w:tcPr>
          <w:p w:rsidR="00000000" w:rsidRDefault="009877E5">
            <w:pPr>
              <w:spacing w:after="160" w:line="360" w:lineRule="auto"/>
              <w:jc w:val="both"/>
              <w:rPr>
                <w:rFonts w:cs="David"/>
                <w:sz w:val="26"/>
                <w:szCs w:val="26"/>
                <w:rtl/>
              </w:rPr>
            </w:pPr>
            <w:r>
              <w:rPr>
                <w:rFonts w:cs="David"/>
                <w:sz w:val="26"/>
                <w:szCs w:val="26"/>
                <w:rtl/>
              </w:rPr>
              <w:t>בסעיף 3 לחוק העיקרי, בסופו יבוא:</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6700" w:type="dxa"/>
            <w:gridSpan w:val="7"/>
            <w:tcBorders>
              <w:top w:val="nil"/>
              <w:left w:val="nil"/>
              <w:bottom w:val="nil"/>
              <w:right w:val="nil"/>
            </w:tcBorders>
          </w:tcPr>
          <w:p w:rsidR="00000000" w:rsidRDefault="009877E5">
            <w:pPr>
              <w:spacing w:after="160" w:line="360" w:lineRule="auto"/>
              <w:jc w:val="both"/>
              <w:rPr>
                <w:rFonts w:cs="David"/>
                <w:sz w:val="26"/>
                <w:szCs w:val="26"/>
                <w:rtl/>
              </w:rPr>
            </w:pPr>
            <w:r>
              <w:rPr>
                <w:rFonts w:cs="David"/>
                <w:sz w:val="26"/>
                <w:szCs w:val="26"/>
                <w:rtl/>
              </w:rPr>
              <w:t>"התפריט ייקבע על פי העקרונות הבאים: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(1)</w:t>
            </w:r>
          </w:p>
        </w:tc>
        <w:tc>
          <w:tcPr>
            <w:tcW w:w="6133" w:type="dxa"/>
            <w:gridSpan w:val="6"/>
            <w:tcBorders>
              <w:top w:val="nil"/>
              <w:left w:val="nil"/>
              <w:bottom w:val="nil"/>
              <w:right w:val="nil"/>
            </w:tcBorders>
          </w:tcPr>
          <w:p w:rsidR="00000000" w:rsidRDefault="009877E5">
            <w:pPr>
              <w:spacing w:after="160" w:line="360" w:lineRule="auto"/>
              <w:jc w:val="both"/>
              <w:rPr>
                <w:rFonts w:cs="David"/>
                <w:sz w:val="26"/>
                <w:szCs w:val="26"/>
                <w:rtl/>
              </w:rPr>
            </w:pPr>
            <w:r>
              <w:rPr>
                <w:rFonts w:cs="David"/>
                <w:sz w:val="26"/>
                <w:szCs w:val="26"/>
                <w:rtl/>
              </w:rPr>
              <w:t>חלוקת המרכיבים התזונתיים ביחס לערך הקלורי של המנה תהיה כדלקמן:</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(א)</w:t>
            </w:r>
          </w:p>
        </w:tc>
        <w:tc>
          <w:tcPr>
            <w:tcW w:w="5566" w:type="dxa"/>
            <w:gridSpan w:val="5"/>
            <w:tcBorders>
              <w:top w:val="nil"/>
              <w:left w:val="nil"/>
              <w:bottom w:val="nil"/>
              <w:right w:val="nil"/>
            </w:tcBorders>
          </w:tcPr>
          <w:p w:rsidR="00000000" w:rsidRDefault="009877E5">
            <w:pPr>
              <w:spacing w:after="160" w:line="360" w:lineRule="auto"/>
              <w:jc w:val="both"/>
              <w:rPr>
                <w:rFonts w:cs="David"/>
                <w:sz w:val="26"/>
                <w:szCs w:val="26"/>
                <w:rtl/>
              </w:rPr>
            </w:pPr>
            <w:r>
              <w:rPr>
                <w:rFonts w:cs="David"/>
                <w:sz w:val="26"/>
                <w:szCs w:val="26"/>
                <w:rtl/>
              </w:rPr>
              <w:t>שיעור החלבון לא יפחת מעשרים אחוזים ולא יעלה על עשרים וחמישה אחוזים, מהערך הקלורי של המנה;</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(ב)</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שיעור השומן לא יעלה על שלושים אחוזים מהערך הקלורי של המנה;</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(ג)</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שיעור השומן הרוו</w:t>
            </w:r>
            <w:r>
              <w:rPr>
                <w:rFonts w:cs="David"/>
                <w:sz w:val="26"/>
                <w:szCs w:val="26"/>
                <w:rtl/>
              </w:rPr>
              <w:t>י לא יעלה על אחד-עשר אחוזים מתוך שיעור השומן במנה;</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(ד)</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שיעור הפחמימות לא יפחת מארבעים וחמישה אחוזים מהערך הקלורי של המנה;</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(ה)</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השיעור היחסי של הפחמימות הפשוטות לא יעלה על עשרים אחוזים משיעור הערך הקלורי של הפחמימות במנה;</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(2)</w:t>
            </w:r>
          </w:p>
        </w:tc>
        <w:tc>
          <w:tcPr>
            <w:tcW w:w="6133" w:type="dxa"/>
            <w:gridSpan w:val="6"/>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 xml:space="preserve">בכפוף לערכים המנויים </w:t>
            </w:r>
            <w:r>
              <w:rPr>
                <w:rFonts w:cs="David"/>
                <w:sz w:val="26"/>
                <w:szCs w:val="26"/>
                <w:rtl/>
              </w:rPr>
              <w:t>בפסקה (1), יהיו כמויות המרכיבים התזונתיים במנה, כדלקמן:</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(א)</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כמות החלבון במנה לא תעלה על שלושים גר'; מקור החלבון יהיה ברובו מדגים ומקטניות;</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(ב)</w:t>
            </w:r>
          </w:p>
        </w:tc>
        <w:tc>
          <w:tcPr>
            <w:tcW w:w="567" w:type="dxa"/>
            <w:gridSpan w:val="2"/>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(1)</w:t>
            </w:r>
          </w:p>
        </w:tc>
        <w:tc>
          <w:tcPr>
            <w:tcW w:w="4999" w:type="dxa"/>
            <w:gridSpan w:val="3"/>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כמות השומן במנה לא תעלה על עשרים ושלושה גרם;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p>
        </w:tc>
        <w:tc>
          <w:tcPr>
            <w:tcW w:w="567" w:type="dxa"/>
            <w:gridSpan w:val="2"/>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(2)</w:t>
            </w:r>
          </w:p>
        </w:tc>
        <w:tc>
          <w:tcPr>
            <w:tcW w:w="4999" w:type="dxa"/>
            <w:gridSpan w:val="3"/>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כמות השומן הרווי לא תעלה על שמונה גרם;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p>
        </w:tc>
        <w:tc>
          <w:tcPr>
            <w:tcW w:w="567" w:type="dxa"/>
            <w:gridSpan w:val="2"/>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(3)</w:t>
            </w:r>
          </w:p>
        </w:tc>
        <w:tc>
          <w:tcPr>
            <w:tcW w:w="4999" w:type="dxa"/>
            <w:gridSpan w:val="3"/>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מתוך כמות השומן הרווי, כמות חומצות השומן מסוג טרנס לא תעלה על גרם אחד;</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p>
        </w:tc>
        <w:tc>
          <w:tcPr>
            <w:tcW w:w="567" w:type="dxa"/>
            <w:gridSpan w:val="2"/>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(4)</w:t>
            </w:r>
          </w:p>
        </w:tc>
        <w:tc>
          <w:tcPr>
            <w:tcW w:w="4999" w:type="dxa"/>
            <w:gridSpan w:val="3"/>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מקור השומן יהיה ברובו מחומצות שומן מסוג אומגה-3, אומגה- 6 ואומגה-9 (</w:t>
            </w:r>
            <w:r>
              <w:rPr>
                <w:rFonts w:cs="David"/>
                <w:sz w:val="26"/>
                <w:szCs w:val="26"/>
              </w:rPr>
              <w:t>Fatty Acids</w:t>
            </w:r>
            <w:r>
              <w:rPr>
                <w:rFonts w:cs="David"/>
                <w:sz w:val="26"/>
                <w:szCs w:val="26"/>
                <w:rtl/>
              </w:rPr>
              <w:t xml:space="preserve"> </w:t>
            </w:r>
            <w:r>
              <w:rPr>
                <w:rFonts w:cs="David"/>
                <w:sz w:val="26"/>
                <w:szCs w:val="26"/>
              </w:rPr>
              <w:t>Omega</w:t>
            </w:r>
            <w:r>
              <w:rPr>
                <w:rFonts w:cs="David"/>
                <w:sz w:val="26"/>
                <w:szCs w:val="26"/>
                <w:rtl/>
              </w:rPr>
              <w:t xml:space="preserve">); </w:t>
            </w:r>
          </w:p>
          <w:p w:rsidR="00000000" w:rsidRDefault="009877E5">
            <w:pPr>
              <w:spacing w:after="160" w:line="360" w:lineRule="auto"/>
              <w:ind w:left="25"/>
              <w:jc w:val="both"/>
              <w:rPr>
                <w:rFonts w:cs="David"/>
                <w:sz w:val="26"/>
                <w:szCs w:val="26"/>
                <w:rtl/>
              </w:rPr>
            </w:pPr>
            <w:r>
              <w:rPr>
                <w:rFonts w:cs="David"/>
                <w:sz w:val="26"/>
                <w:szCs w:val="26"/>
                <w:rtl/>
              </w:rPr>
              <w:t xml:space="preserve">בפסקת משנה זו "חומצות שומן מסוג טרנס" -  </w:t>
            </w:r>
            <w:r>
              <w:rPr>
                <w:rFonts w:ascii="Arial" w:hAnsi="Arial" w:cs="David"/>
                <w:sz w:val="26"/>
                <w:szCs w:val="26"/>
                <w:rtl/>
              </w:rPr>
              <w:t>חומצות שומן  ממקור צמחי העוברות  תהליך הידרוג</w:t>
            </w:r>
            <w:r>
              <w:rPr>
                <w:rFonts w:ascii="Arial" w:hAnsi="Arial" w:cs="David"/>
                <w:sz w:val="26"/>
                <w:szCs w:val="26"/>
                <w:rtl/>
              </w:rPr>
              <w:t>נציה - טיפול מכוון במימן או טיפול אחר בתהליך עיבוד המזון</w:t>
            </w:r>
            <w:r>
              <w:rPr>
                <w:rFonts w:cs="David"/>
                <w:sz w:val="26"/>
                <w:szCs w:val="26"/>
                <w:rtl/>
              </w:rPr>
              <w:t xml:space="preserve"> ההופך אותן לשומן מוקשה (</w:t>
            </w:r>
            <w:r>
              <w:rPr>
                <w:rFonts w:cs="David"/>
                <w:sz w:val="26"/>
                <w:szCs w:val="26"/>
              </w:rPr>
              <w:t>Trans Fatty Acids</w:t>
            </w:r>
            <w:r>
              <w:rPr>
                <w:rFonts w:cs="David"/>
                <w:sz w:val="26"/>
                <w:szCs w:val="26"/>
                <w:rtl/>
              </w:rPr>
              <w:t xml:space="preserve">), למעט חומצות שומן מסוג טרנס שמקורן בשומן מן החי אשר לא עברו תהליך כאמור; </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(ג)</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כמות הפחמימות במנה לא תפחת מ-72 גרם;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(ד)</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 xml:space="preserve">המנה תכלול ירקות, מבושלים או </w:t>
            </w:r>
            <w:r>
              <w:rPr>
                <w:rFonts w:cs="David"/>
                <w:sz w:val="26"/>
                <w:szCs w:val="26"/>
                <w:rtl/>
              </w:rPr>
              <w:t>טריים;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(ה)</w:t>
            </w:r>
          </w:p>
        </w:tc>
        <w:tc>
          <w:tcPr>
            <w:tcW w:w="5566" w:type="dxa"/>
            <w:gridSpan w:val="5"/>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המנה תכלול סיבים תזונתיים בכמות שלא תפחת משישה גרם ולא תעלה על עשרה גרם.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(3)</w:t>
            </w:r>
          </w:p>
        </w:tc>
        <w:tc>
          <w:tcPr>
            <w:tcW w:w="6133" w:type="dxa"/>
            <w:gridSpan w:val="6"/>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הארוחה לא תכלול משקאות ממותקים;</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line="360" w:lineRule="auto"/>
              <w:rPr>
                <w:rFonts w:cs="David"/>
                <w:sz w:val="26"/>
                <w:szCs w:val="26"/>
                <w:rtl/>
              </w:rPr>
            </w:pPr>
          </w:p>
        </w:tc>
        <w:tc>
          <w:tcPr>
            <w:tcW w:w="567"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(4)</w:t>
            </w:r>
          </w:p>
        </w:tc>
        <w:tc>
          <w:tcPr>
            <w:tcW w:w="6133" w:type="dxa"/>
            <w:gridSpan w:val="6"/>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 xml:space="preserve">בקביעת סוגי התפריט יובאו בחשבון מדדים תזונתיים מומלצים לתזונה בריאה לתלמידים בגילאים השונים אליהם מתייחסות הוראות חוק זה, </w:t>
            </w:r>
            <w:r>
              <w:rPr>
                <w:rFonts w:cs="David"/>
                <w:sz w:val="26"/>
                <w:szCs w:val="26"/>
                <w:rtl/>
              </w:rPr>
              <w:t>לרבות אינדקס גליקמי נמוך, כמות רצויה של ויטמינים וגיוון בסוגי המזונות.</w:t>
            </w:r>
          </w:p>
          <w:p w:rsidR="00000000" w:rsidRDefault="009877E5">
            <w:pPr>
              <w:spacing w:after="160" w:line="360" w:lineRule="auto"/>
              <w:ind w:left="52"/>
              <w:jc w:val="both"/>
              <w:rPr>
                <w:rFonts w:cs="David"/>
                <w:sz w:val="26"/>
                <w:szCs w:val="26"/>
                <w:rtl/>
              </w:rPr>
            </w:pP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r>
              <w:rPr>
                <w:rFonts w:cs="David"/>
                <w:sz w:val="26"/>
                <w:szCs w:val="26"/>
                <w:rtl/>
              </w:rPr>
              <w:t>החלפת סעיף 4</w:t>
            </w:r>
          </w:p>
        </w:tc>
        <w:tc>
          <w:tcPr>
            <w:tcW w:w="549" w:type="dxa"/>
            <w:tcBorders>
              <w:top w:val="nil"/>
              <w:left w:val="nil"/>
              <w:bottom w:val="nil"/>
              <w:right w:val="nil"/>
            </w:tcBorders>
          </w:tcPr>
          <w:p w:rsidR="00000000" w:rsidRDefault="009877E5">
            <w:pPr>
              <w:spacing w:after="160" w:line="360" w:lineRule="auto"/>
              <w:rPr>
                <w:rFonts w:cs="David"/>
                <w:sz w:val="26"/>
                <w:szCs w:val="26"/>
                <w:rtl/>
              </w:rPr>
            </w:pPr>
            <w:r>
              <w:rPr>
                <w:rFonts w:cs="David"/>
                <w:sz w:val="26"/>
                <w:szCs w:val="26"/>
                <w:rtl/>
              </w:rPr>
              <w:t>3.</w:t>
            </w:r>
          </w:p>
        </w:tc>
        <w:tc>
          <w:tcPr>
            <w:tcW w:w="6700" w:type="dxa"/>
            <w:gridSpan w:val="7"/>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במקום סעיף 4 לחוק העיקרי יבוא:</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rPr>
                <w:rFonts w:cs="David"/>
                <w:sz w:val="26"/>
                <w:szCs w:val="26"/>
                <w:rtl/>
              </w:rPr>
            </w:pPr>
          </w:p>
        </w:tc>
        <w:tc>
          <w:tcPr>
            <w:tcW w:w="1197" w:type="dxa"/>
            <w:gridSpan w:val="3"/>
            <w:tcBorders>
              <w:top w:val="nil"/>
              <w:left w:val="nil"/>
              <w:bottom w:val="nil"/>
              <w:right w:val="nil"/>
            </w:tcBorders>
          </w:tcPr>
          <w:p w:rsidR="00000000" w:rsidRDefault="009877E5">
            <w:pPr>
              <w:spacing w:after="160"/>
              <w:ind w:left="52"/>
              <w:rPr>
                <w:rFonts w:cs="David"/>
                <w:sz w:val="26"/>
                <w:szCs w:val="26"/>
                <w:rtl/>
              </w:rPr>
            </w:pPr>
            <w:r>
              <w:rPr>
                <w:rFonts w:cs="David"/>
                <w:sz w:val="26"/>
                <w:szCs w:val="26"/>
                <w:rtl/>
              </w:rPr>
              <w:t>"החלה בהדרגה</w:t>
            </w:r>
          </w:p>
        </w:tc>
        <w:tc>
          <w:tcPr>
            <w:tcW w:w="561" w:type="dxa"/>
            <w:gridSpan w:val="2"/>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4.</w:t>
            </w:r>
          </w:p>
        </w:tc>
        <w:tc>
          <w:tcPr>
            <w:tcW w:w="4942" w:type="dxa"/>
            <w:gridSpan w:val="2"/>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חוק זה יוחל בהדרגה על תלמידים באזורי מגורים על פי רשימת האשכולות כדלקמן:</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rPr>
                <w:rFonts w:cs="David"/>
                <w:sz w:val="26"/>
                <w:szCs w:val="26"/>
                <w:rtl/>
              </w:rPr>
            </w:pPr>
          </w:p>
        </w:tc>
        <w:tc>
          <w:tcPr>
            <w:tcW w:w="1197" w:type="dxa"/>
            <w:gridSpan w:val="3"/>
            <w:tcBorders>
              <w:top w:val="nil"/>
              <w:left w:val="nil"/>
              <w:bottom w:val="nil"/>
              <w:right w:val="nil"/>
            </w:tcBorders>
          </w:tcPr>
          <w:p w:rsidR="00000000" w:rsidRDefault="009877E5">
            <w:pPr>
              <w:spacing w:after="160"/>
              <w:ind w:left="52"/>
              <w:rPr>
                <w:rFonts w:cs="David"/>
                <w:sz w:val="26"/>
                <w:szCs w:val="26"/>
                <w:rtl/>
              </w:rPr>
            </w:pPr>
          </w:p>
        </w:tc>
        <w:tc>
          <w:tcPr>
            <w:tcW w:w="561" w:type="dxa"/>
            <w:gridSpan w:val="2"/>
            <w:tcBorders>
              <w:top w:val="nil"/>
              <w:left w:val="nil"/>
              <w:bottom w:val="nil"/>
              <w:right w:val="nil"/>
            </w:tcBorders>
          </w:tcPr>
          <w:p w:rsidR="00000000" w:rsidRDefault="009877E5">
            <w:pPr>
              <w:spacing w:after="160" w:line="360" w:lineRule="auto"/>
              <w:ind w:left="52"/>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(1)</w:t>
            </w:r>
          </w:p>
        </w:tc>
        <w:tc>
          <w:tcPr>
            <w:tcW w:w="4375" w:type="dxa"/>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אשכולות 1, 2 ו-3 - בתוך 60 ימים מיו</w:t>
            </w:r>
            <w:r>
              <w:rPr>
                <w:rFonts w:cs="David"/>
                <w:sz w:val="26"/>
                <w:szCs w:val="26"/>
                <w:rtl/>
              </w:rPr>
              <w:t>ם תחילתו של החוק המתקן;</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rPr>
                <w:rFonts w:cs="David"/>
                <w:sz w:val="26"/>
                <w:szCs w:val="26"/>
                <w:rtl/>
              </w:rPr>
            </w:pPr>
          </w:p>
        </w:tc>
        <w:tc>
          <w:tcPr>
            <w:tcW w:w="1197" w:type="dxa"/>
            <w:gridSpan w:val="3"/>
            <w:tcBorders>
              <w:top w:val="nil"/>
              <w:left w:val="nil"/>
              <w:bottom w:val="nil"/>
              <w:right w:val="nil"/>
            </w:tcBorders>
          </w:tcPr>
          <w:p w:rsidR="00000000" w:rsidRDefault="009877E5">
            <w:pPr>
              <w:spacing w:after="160"/>
              <w:ind w:left="52"/>
              <w:rPr>
                <w:rFonts w:cs="David"/>
                <w:sz w:val="26"/>
                <w:szCs w:val="26"/>
                <w:rtl/>
              </w:rPr>
            </w:pPr>
          </w:p>
        </w:tc>
        <w:tc>
          <w:tcPr>
            <w:tcW w:w="561" w:type="dxa"/>
            <w:gridSpan w:val="2"/>
            <w:tcBorders>
              <w:top w:val="nil"/>
              <w:left w:val="nil"/>
              <w:bottom w:val="nil"/>
              <w:right w:val="nil"/>
            </w:tcBorders>
          </w:tcPr>
          <w:p w:rsidR="00000000" w:rsidRDefault="009877E5">
            <w:pPr>
              <w:spacing w:after="160" w:line="360" w:lineRule="auto"/>
              <w:ind w:left="52"/>
              <w:rPr>
                <w:rFonts w:cs="David"/>
                <w:sz w:val="26"/>
                <w:szCs w:val="26"/>
                <w:rtl/>
              </w:rPr>
            </w:pPr>
          </w:p>
        </w:tc>
        <w:tc>
          <w:tcPr>
            <w:tcW w:w="567" w:type="dxa"/>
            <w:tcBorders>
              <w:top w:val="nil"/>
              <w:left w:val="nil"/>
              <w:bottom w:val="nil"/>
              <w:right w:val="nil"/>
            </w:tcBorders>
          </w:tcPr>
          <w:p w:rsidR="00000000" w:rsidRDefault="009877E5">
            <w:pPr>
              <w:spacing w:after="160" w:line="360" w:lineRule="auto"/>
              <w:ind w:left="52"/>
              <w:rPr>
                <w:rFonts w:cs="David"/>
                <w:sz w:val="26"/>
                <w:szCs w:val="26"/>
                <w:rtl/>
              </w:rPr>
            </w:pPr>
            <w:r>
              <w:rPr>
                <w:rFonts w:cs="David"/>
                <w:sz w:val="26"/>
                <w:szCs w:val="26"/>
                <w:rtl/>
              </w:rPr>
              <w:t>(2)</w:t>
            </w:r>
          </w:p>
        </w:tc>
        <w:tc>
          <w:tcPr>
            <w:tcW w:w="4375" w:type="dxa"/>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שאר האשכולות - על פי רשימה שיקבע השר בצו;</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rPr>
                <w:rFonts w:cs="David"/>
                <w:sz w:val="26"/>
                <w:szCs w:val="26"/>
                <w:rtl/>
              </w:rPr>
            </w:pPr>
          </w:p>
        </w:tc>
        <w:tc>
          <w:tcPr>
            <w:tcW w:w="1197" w:type="dxa"/>
            <w:gridSpan w:val="3"/>
            <w:tcBorders>
              <w:top w:val="nil"/>
              <w:left w:val="nil"/>
              <w:bottom w:val="nil"/>
              <w:right w:val="nil"/>
            </w:tcBorders>
          </w:tcPr>
          <w:p w:rsidR="00000000" w:rsidRDefault="009877E5">
            <w:pPr>
              <w:spacing w:after="160"/>
              <w:ind w:left="52"/>
              <w:rPr>
                <w:rFonts w:cs="David"/>
                <w:sz w:val="26"/>
                <w:szCs w:val="26"/>
                <w:rtl/>
              </w:rPr>
            </w:pPr>
          </w:p>
        </w:tc>
        <w:tc>
          <w:tcPr>
            <w:tcW w:w="561" w:type="dxa"/>
            <w:gridSpan w:val="2"/>
            <w:tcBorders>
              <w:top w:val="nil"/>
              <w:left w:val="nil"/>
              <w:bottom w:val="nil"/>
              <w:right w:val="nil"/>
            </w:tcBorders>
          </w:tcPr>
          <w:p w:rsidR="00000000" w:rsidRDefault="009877E5">
            <w:pPr>
              <w:spacing w:after="160" w:line="360" w:lineRule="auto"/>
              <w:ind w:left="52"/>
              <w:rPr>
                <w:rFonts w:cs="David"/>
                <w:sz w:val="26"/>
                <w:szCs w:val="26"/>
                <w:rtl/>
              </w:rPr>
            </w:pPr>
          </w:p>
        </w:tc>
        <w:tc>
          <w:tcPr>
            <w:tcW w:w="4942" w:type="dxa"/>
            <w:gridSpan w:val="2"/>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בסעיף זה, "החוק המתקן" - חוק ארוחה יומית לתלמיד (תיקון - החלת החוק ועדכון תפריט), התשס"ו-2006.</w:t>
            </w:r>
          </w:p>
          <w:p w:rsidR="00000000" w:rsidRDefault="009877E5">
            <w:pPr>
              <w:spacing w:after="160" w:line="360" w:lineRule="auto"/>
              <w:ind w:left="52"/>
              <w:jc w:val="both"/>
              <w:rPr>
                <w:rFonts w:cs="David"/>
                <w:sz w:val="26"/>
                <w:szCs w:val="26"/>
                <w:rtl/>
              </w:rPr>
            </w:pP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r>
              <w:rPr>
                <w:rFonts w:cs="David"/>
                <w:sz w:val="26"/>
                <w:szCs w:val="26"/>
                <w:rtl/>
              </w:rPr>
              <w:t>תיקון סעיף 5</w:t>
            </w:r>
          </w:p>
        </w:tc>
        <w:tc>
          <w:tcPr>
            <w:tcW w:w="549" w:type="dxa"/>
            <w:tcBorders>
              <w:top w:val="nil"/>
              <w:left w:val="nil"/>
              <w:bottom w:val="nil"/>
              <w:right w:val="nil"/>
            </w:tcBorders>
          </w:tcPr>
          <w:p w:rsidR="00000000" w:rsidRDefault="009877E5">
            <w:pPr>
              <w:spacing w:after="160"/>
              <w:rPr>
                <w:rFonts w:cs="David"/>
                <w:sz w:val="26"/>
                <w:szCs w:val="26"/>
                <w:rtl/>
              </w:rPr>
            </w:pPr>
            <w:r>
              <w:rPr>
                <w:rFonts w:cs="David"/>
                <w:sz w:val="26"/>
                <w:szCs w:val="26"/>
                <w:rtl/>
              </w:rPr>
              <w:t>4.</w:t>
            </w:r>
          </w:p>
        </w:tc>
        <w:tc>
          <w:tcPr>
            <w:tcW w:w="6700" w:type="dxa"/>
            <w:gridSpan w:val="7"/>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בסעיף 5 לחוק העיקרי, בסופו יבוא:</w:t>
            </w:r>
          </w:p>
        </w:tc>
      </w:tr>
      <w:tr w:rsidR="00000000">
        <w:tblPrEx>
          <w:tblCellMar>
            <w:top w:w="0" w:type="dxa"/>
            <w:bottom w:w="0" w:type="dxa"/>
          </w:tblCellMar>
        </w:tblPrEx>
        <w:trPr>
          <w:cantSplit/>
        </w:trPr>
        <w:tc>
          <w:tcPr>
            <w:tcW w:w="1171" w:type="dxa"/>
            <w:tcBorders>
              <w:top w:val="nil"/>
              <w:left w:val="nil"/>
              <w:bottom w:val="nil"/>
              <w:right w:val="nil"/>
            </w:tcBorders>
          </w:tcPr>
          <w:p w:rsidR="00000000" w:rsidRDefault="009877E5">
            <w:pPr>
              <w:spacing w:after="160"/>
              <w:rPr>
                <w:rFonts w:cs="David"/>
                <w:sz w:val="26"/>
                <w:szCs w:val="26"/>
                <w:rtl/>
              </w:rPr>
            </w:pPr>
          </w:p>
        </w:tc>
        <w:tc>
          <w:tcPr>
            <w:tcW w:w="549" w:type="dxa"/>
            <w:tcBorders>
              <w:top w:val="nil"/>
              <w:left w:val="nil"/>
              <w:bottom w:val="nil"/>
              <w:right w:val="nil"/>
            </w:tcBorders>
          </w:tcPr>
          <w:p w:rsidR="00000000" w:rsidRDefault="009877E5">
            <w:pPr>
              <w:spacing w:after="160"/>
              <w:rPr>
                <w:rFonts w:cs="David"/>
                <w:sz w:val="26"/>
                <w:szCs w:val="26"/>
                <w:rtl/>
              </w:rPr>
            </w:pPr>
          </w:p>
        </w:tc>
        <w:tc>
          <w:tcPr>
            <w:tcW w:w="567" w:type="dxa"/>
            <w:tcBorders>
              <w:top w:val="nil"/>
              <w:left w:val="nil"/>
              <w:bottom w:val="nil"/>
              <w:right w:val="nil"/>
            </w:tcBorders>
          </w:tcPr>
          <w:p w:rsidR="00000000" w:rsidRDefault="009877E5">
            <w:pPr>
              <w:spacing w:after="160"/>
              <w:ind w:left="52"/>
              <w:rPr>
                <w:rFonts w:cs="David"/>
                <w:sz w:val="26"/>
                <w:szCs w:val="26"/>
                <w:rtl/>
              </w:rPr>
            </w:pPr>
            <w:r>
              <w:rPr>
                <w:rFonts w:cs="David"/>
                <w:sz w:val="26"/>
                <w:szCs w:val="26"/>
                <w:rtl/>
              </w:rPr>
              <w:t>"(ה)</w:t>
            </w:r>
          </w:p>
        </w:tc>
        <w:tc>
          <w:tcPr>
            <w:tcW w:w="6133" w:type="dxa"/>
            <w:gridSpan w:val="6"/>
            <w:tcBorders>
              <w:top w:val="nil"/>
              <w:left w:val="nil"/>
              <w:bottom w:val="nil"/>
              <w:right w:val="nil"/>
            </w:tcBorders>
          </w:tcPr>
          <w:p w:rsidR="00000000" w:rsidRDefault="009877E5">
            <w:pPr>
              <w:spacing w:after="160" w:line="360" w:lineRule="auto"/>
              <w:ind w:left="52"/>
              <w:jc w:val="both"/>
              <w:rPr>
                <w:rFonts w:cs="David"/>
                <w:sz w:val="26"/>
                <w:szCs w:val="26"/>
                <w:rtl/>
              </w:rPr>
            </w:pPr>
            <w:r>
              <w:rPr>
                <w:rFonts w:cs="David"/>
                <w:sz w:val="26"/>
                <w:szCs w:val="26"/>
                <w:rtl/>
              </w:rPr>
              <w:t>הוראות סעיפים קטנים (ב</w:t>
            </w:r>
            <w:r>
              <w:rPr>
                <w:rFonts w:cs="David"/>
                <w:sz w:val="26"/>
                <w:szCs w:val="26"/>
                <w:rtl/>
              </w:rPr>
              <w:t>) עד (ד) לענין השתתפות וגבית תשלומים על ידי רשות חינוך מקומית, לא יחולו על אשכולות 1, 2 ו-3 ברשימת האשכולות."</w:t>
            </w:r>
          </w:p>
        </w:tc>
      </w:tr>
    </w:tbl>
    <w:p w:rsidR="00000000" w:rsidRDefault="009877E5">
      <w:pPr>
        <w:spacing w:after="160"/>
        <w:rPr>
          <w:rFonts w:cs="David"/>
          <w:sz w:val="26"/>
          <w:szCs w:val="26"/>
          <w:rtl/>
        </w:rPr>
      </w:pPr>
    </w:p>
    <w:p w:rsidR="00000000" w:rsidRDefault="009877E5">
      <w:pPr>
        <w:jc w:val="center"/>
        <w:rPr>
          <w:rFonts w:cs="David"/>
          <w:b/>
          <w:bCs/>
          <w:sz w:val="28"/>
          <w:szCs w:val="28"/>
          <w:u w:val="single"/>
          <w:rtl/>
        </w:rPr>
      </w:pPr>
    </w:p>
    <w:p w:rsidR="00000000" w:rsidRDefault="009877E5">
      <w:pPr>
        <w:jc w:val="center"/>
        <w:rPr>
          <w:rFonts w:cs="David"/>
          <w:sz w:val="26"/>
          <w:szCs w:val="26"/>
          <w:rtl/>
        </w:rPr>
      </w:pPr>
      <w:r>
        <w:rPr>
          <w:rFonts w:cs="David"/>
          <w:b/>
          <w:bCs/>
          <w:sz w:val="28"/>
          <w:szCs w:val="28"/>
          <w:u w:val="single"/>
          <w:rtl/>
        </w:rPr>
        <w:t>דברי - הסבר</w:t>
      </w:r>
    </w:p>
    <w:p w:rsidR="00000000" w:rsidRDefault="009877E5">
      <w:pPr>
        <w:rPr>
          <w:rFonts w:cs="David"/>
          <w:sz w:val="26"/>
          <w:szCs w:val="26"/>
          <w:rtl/>
        </w:rPr>
      </w:pPr>
    </w:p>
    <w:p w:rsidR="00000000" w:rsidRDefault="009877E5">
      <w:pPr>
        <w:pStyle w:val="ab"/>
        <w:spacing w:line="360" w:lineRule="auto"/>
        <w:jc w:val="both"/>
        <w:rPr>
          <w:rFonts w:cs="David"/>
          <w:sz w:val="26"/>
          <w:szCs w:val="26"/>
          <w:rtl/>
        </w:rPr>
      </w:pPr>
      <w:r>
        <w:rPr>
          <w:rFonts w:cs="David"/>
          <w:sz w:val="26"/>
          <w:szCs w:val="26"/>
          <w:rtl/>
        </w:rPr>
        <w:t>חוק ארוחה יומית לתלמיד, התשס"ה- 2005, נחקק על רקע צו השעה לפיו חוסר תזונה או תזונה לקויה בקרב ילדי ישראל הפכו לתופעה רחבת היקף  ומ</w:t>
      </w:r>
      <w:r>
        <w:rPr>
          <w:rFonts w:cs="David"/>
          <w:sz w:val="26"/>
          <w:szCs w:val="26"/>
          <w:rtl/>
        </w:rPr>
        <w:t>תוך הכרה כי האחריות הישירה לדאגה לביטחונם התזונתי של ילדי ישראל היא על ממשלת ישראל. הדרך היחידה להבטיח מינימום של ביטחון תזונתי היא על ידי אספקת מזון טרי ומזין במסגרת מערכת החינוך.</w:t>
      </w:r>
    </w:p>
    <w:p w:rsidR="00000000" w:rsidRDefault="009877E5">
      <w:pPr>
        <w:pStyle w:val="ab"/>
        <w:spacing w:line="360" w:lineRule="auto"/>
        <w:jc w:val="both"/>
        <w:rPr>
          <w:rFonts w:cs="David"/>
          <w:sz w:val="26"/>
          <w:szCs w:val="26"/>
          <w:rtl/>
        </w:rPr>
      </w:pPr>
    </w:p>
    <w:p w:rsidR="00000000" w:rsidRDefault="009877E5">
      <w:pPr>
        <w:pStyle w:val="ab"/>
        <w:spacing w:line="360" w:lineRule="auto"/>
        <w:jc w:val="both"/>
        <w:rPr>
          <w:rFonts w:cs="David"/>
          <w:sz w:val="26"/>
          <w:szCs w:val="26"/>
          <w:rtl/>
        </w:rPr>
      </w:pPr>
      <w:r>
        <w:rPr>
          <w:rFonts w:cs="David"/>
          <w:sz w:val="26"/>
          <w:szCs w:val="26"/>
          <w:rtl/>
        </w:rPr>
        <w:t>מימדי התופעה לא קטנו על אף קיומו של החוק האמור, והיא נגרמת ברובה עקב מצוקה</w:t>
      </w:r>
      <w:r>
        <w:rPr>
          <w:rFonts w:cs="David"/>
          <w:sz w:val="26"/>
          <w:szCs w:val="26"/>
          <w:rtl/>
        </w:rPr>
        <w:t xml:space="preserve"> כלכלית והעדר משאבים להורים רבים לספק לילדיהם תזונה מינימלית ראויה. אנו עדים אף לתופעה גדולה והולכת של מצוקת ילדים מול חוסר יכולת הוריהם לספק להם את צורכיהם הבסיסיים, דבר אשר משפיע על יכולת ילדים אלה לתפקד כתלמידים וכילדים כאחד.</w:t>
      </w:r>
    </w:p>
    <w:p w:rsidR="00000000" w:rsidRDefault="009877E5">
      <w:pPr>
        <w:spacing w:line="360" w:lineRule="auto"/>
        <w:jc w:val="both"/>
        <w:rPr>
          <w:rFonts w:cs="David"/>
          <w:sz w:val="26"/>
          <w:szCs w:val="26"/>
          <w:rtl/>
        </w:rPr>
      </w:pPr>
    </w:p>
    <w:p w:rsidR="00000000" w:rsidRDefault="009877E5">
      <w:pPr>
        <w:spacing w:line="360" w:lineRule="auto"/>
        <w:jc w:val="both"/>
        <w:rPr>
          <w:rFonts w:cs="David"/>
          <w:sz w:val="26"/>
          <w:szCs w:val="26"/>
          <w:rtl/>
        </w:rPr>
      </w:pPr>
      <w:r>
        <w:rPr>
          <w:rFonts w:cs="David"/>
          <w:sz w:val="26"/>
          <w:szCs w:val="26"/>
          <w:rtl/>
        </w:rPr>
        <w:t>יחד עם זאת, הלחץ לחסכון בת</w:t>
      </w:r>
      <w:r>
        <w:rPr>
          <w:rFonts w:cs="David"/>
          <w:sz w:val="26"/>
          <w:szCs w:val="26"/>
          <w:rtl/>
        </w:rPr>
        <w:t>קציב שהוטל על הכנסת בבואה להעביר את החוק היה רב והוא משתקף בעובדה שהחוק איננו חל, למעשה, על רשויות מקומיות רבות בהם רב הצורך לקיימו. זאת, בין היתר, בשל הצמדת החלתו של החוק להחלתו של יום חינוך ארוך - הסדר הנדחה חדשות לבקרים.</w:t>
      </w:r>
    </w:p>
    <w:p w:rsidR="00000000" w:rsidRDefault="009877E5">
      <w:pPr>
        <w:spacing w:line="360" w:lineRule="auto"/>
        <w:jc w:val="both"/>
        <w:rPr>
          <w:rFonts w:cs="David"/>
          <w:sz w:val="26"/>
          <w:szCs w:val="26"/>
          <w:rtl/>
        </w:rPr>
      </w:pPr>
    </w:p>
    <w:p w:rsidR="00000000" w:rsidRDefault="009877E5">
      <w:pPr>
        <w:spacing w:line="360" w:lineRule="auto"/>
        <w:jc w:val="both"/>
        <w:rPr>
          <w:rFonts w:cs="David"/>
          <w:sz w:val="26"/>
          <w:szCs w:val="26"/>
          <w:rtl/>
        </w:rPr>
      </w:pPr>
      <w:r>
        <w:rPr>
          <w:rFonts w:cs="David"/>
          <w:sz w:val="26"/>
          <w:szCs w:val="26"/>
          <w:rtl/>
        </w:rPr>
        <w:t>כמו כן, לא נקבעו בחוק אמות מידה</w:t>
      </w:r>
      <w:r>
        <w:rPr>
          <w:rFonts w:cs="David"/>
          <w:sz w:val="26"/>
          <w:szCs w:val="26"/>
          <w:rtl/>
        </w:rPr>
        <w:t xml:space="preserve"> לאופי הארוחה היומית לתלמיד. מחקרים קובעים בוודאות כי ארוחת הצהריים היא המרכיב הקריטי בתזונתם של ילדים. תזונה עתירת שומנים רוויים תפתור את בעיית תת-התזונה, אולם תיצור אוכלוסיית ילדים שבטווח הארוך תסבול מבעיות בריאות. לכן, חיוני לקבוע מאפיינים בסיסיים לארוח</w:t>
      </w:r>
      <w:r>
        <w:rPr>
          <w:rFonts w:cs="David"/>
          <w:sz w:val="26"/>
          <w:szCs w:val="26"/>
          <w:rtl/>
        </w:rPr>
        <w:t>ה היומית, כפי שקורה בכל מדינות העולם בהן מונהג הסדר זה.</w:t>
      </w:r>
    </w:p>
    <w:p w:rsidR="00000000" w:rsidRDefault="009877E5">
      <w:pPr>
        <w:spacing w:line="360" w:lineRule="auto"/>
        <w:jc w:val="both"/>
        <w:rPr>
          <w:rFonts w:cs="David"/>
          <w:sz w:val="26"/>
          <w:szCs w:val="26"/>
          <w:rtl/>
        </w:rPr>
      </w:pPr>
    </w:p>
    <w:p w:rsidR="00000000" w:rsidRDefault="009877E5">
      <w:pPr>
        <w:spacing w:line="360" w:lineRule="auto"/>
        <w:jc w:val="both"/>
        <w:rPr>
          <w:rFonts w:cs="David"/>
          <w:sz w:val="26"/>
          <w:szCs w:val="26"/>
          <w:rtl/>
        </w:rPr>
      </w:pPr>
      <w:r>
        <w:rPr>
          <w:rFonts w:cs="David"/>
          <w:sz w:val="26"/>
          <w:szCs w:val="26"/>
          <w:rtl/>
        </w:rPr>
        <w:t>לפיכך, מוצע לנתק את הקשר בין החלת חוק זה לבין החלת יום חינוך ארוך ולקבוע תחולה מיידית על אשכולות 1, 2, 3 - הנמוכים ביותר. כן מוצע לא להחיל על אשכולות אלה את חובת השתתפות הרשות המקומית במימון, דבר שעל</w:t>
      </w:r>
      <w:r>
        <w:rPr>
          <w:rFonts w:cs="David"/>
          <w:sz w:val="26"/>
          <w:szCs w:val="26"/>
          <w:rtl/>
        </w:rPr>
        <w:t>ול למנוע, או לפחות לעכב מאוד ככל הנראה, את יישומו של החוק. לגבי יתר האשכולות- ניתן שיקול דעת לשר החינוך לקבוע את החלת החוק.</w:t>
      </w:r>
    </w:p>
    <w:p w:rsidR="00000000" w:rsidRDefault="009877E5">
      <w:pPr>
        <w:spacing w:line="360" w:lineRule="auto"/>
        <w:jc w:val="both"/>
        <w:rPr>
          <w:rFonts w:cs="David"/>
          <w:sz w:val="26"/>
          <w:szCs w:val="26"/>
          <w:rtl/>
        </w:rPr>
      </w:pPr>
    </w:p>
    <w:p w:rsidR="00000000" w:rsidRDefault="009877E5">
      <w:pPr>
        <w:spacing w:line="360" w:lineRule="auto"/>
        <w:jc w:val="both"/>
        <w:rPr>
          <w:rFonts w:cs="David"/>
          <w:sz w:val="26"/>
          <w:szCs w:val="26"/>
          <w:rtl/>
        </w:rPr>
      </w:pPr>
    </w:p>
    <w:p w:rsidR="00000000" w:rsidRDefault="009877E5">
      <w:pPr>
        <w:spacing w:line="360" w:lineRule="auto"/>
        <w:jc w:val="both"/>
        <w:rPr>
          <w:rFonts w:cs="David"/>
          <w:sz w:val="26"/>
          <w:szCs w:val="26"/>
          <w:rtl/>
        </w:rPr>
      </w:pPr>
      <w:r>
        <w:rPr>
          <w:rFonts w:cs="David"/>
          <w:sz w:val="26"/>
          <w:szCs w:val="26"/>
          <w:rtl/>
        </w:rPr>
        <w:t>* הצעת חוק זו מוגשת בהמלצתו של נציב הדורות הבאים.</w:t>
      </w:r>
    </w:p>
    <w:p w:rsidR="00000000" w:rsidRDefault="009877E5">
      <w:pPr>
        <w:pStyle w:val="a3"/>
        <w:spacing w:line="360" w:lineRule="auto"/>
        <w:jc w:val="left"/>
        <w:rPr>
          <w:rFonts w:cs="David"/>
          <w:u w:val="none"/>
          <w:rtl/>
        </w:rPr>
      </w:pPr>
    </w:p>
    <w:p w:rsidR="00000000" w:rsidRDefault="009877E5">
      <w:pPr>
        <w:pStyle w:val="a3"/>
        <w:spacing w:line="360" w:lineRule="auto"/>
        <w:jc w:val="left"/>
        <w:rPr>
          <w:rFonts w:cs="David"/>
          <w:u w:val="none"/>
        </w:rPr>
      </w:pPr>
    </w:p>
    <w:p w:rsidR="00000000" w:rsidRDefault="009877E5">
      <w:pPr>
        <w:spacing w:line="360" w:lineRule="auto"/>
        <w:rPr>
          <w:rtl/>
        </w:rPr>
      </w:pPr>
    </w:p>
    <w:p w:rsidR="00000000" w:rsidRDefault="009877E5">
      <w:pPr>
        <w:spacing w:line="360" w:lineRule="auto"/>
        <w:rPr>
          <w:rtl/>
        </w:rPr>
      </w:pPr>
    </w:p>
    <w:p w:rsidR="00000000" w:rsidRDefault="009877E5">
      <w:pPr>
        <w:spacing w:line="360" w:lineRule="auto"/>
        <w:rPr>
          <w:rFonts w:cs="David"/>
          <w:sz w:val="26"/>
          <w:szCs w:val="26"/>
          <w:rtl/>
        </w:rPr>
      </w:pPr>
      <w:r>
        <w:rPr>
          <w:rFonts w:cs="David"/>
          <w:sz w:val="26"/>
          <w:szCs w:val="26"/>
          <w:rtl/>
        </w:rPr>
        <w:t>---------------------------------</w:t>
      </w:r>
    </w:p>
    <w:p w:rsidR="00000000" w:rsidRDefault="009877E5">
      <w:pPr>
        <w:spacing w:line="360" w:lineRule="auto"/>
        <w:rPr>
          <w:rFonts w:cs="David"/>
          <w:sz w:val="26"/>
          <w:szCs w:val="26"/>
          <w:rtl/>
        </w:rPr>
      </w:pPr>
      <w:r>
        <w:rPr>
          <w:rFonts w:cs="David"/>
          <w:sz w:val="26"/>
          <w:szCs w:val="26"/>
          <w:rtl/>
        </w:rPr>
        <w:t>הוגשה ליו"ר הכנסת והסגנים</w:t>
      </w:r>
    </w:p>
    <w:p w:rsidR="00000000" w:rsidRDefault="009877E5">
      <w:pPr>
        <w:spacing w:line="360" w:lineRule="auto"/>
        <w:rPr>
          <w:rFonts w:cs="David"/>
          <w:sz w:val="26"/>
          <w:szCs w:val="26"/>
          <w:rtl/>
        </w:rPr>
      </w:pPr>
      <w:r>
        <w:rPr>
          <w:rFonts w:cs="David"/>
          <w:sz w:val="26"/>
          <w:szCs w:val="26"/>
          <w:rtl/>
        </w:rPr>
        <w:t xml:space="preserve">והונחה על שולחן </w:t>
      </w:r>
      <w:r>
        <w:rPr>
          <w:rFonts w:cs="David"/>
          <w:sz w:val="26"/>
          <w:szCs w:val="26"/>
          <w:rtl/>
        </w:rPr>
        <w:t>הכנסת ביום</w:t>
      </w:r>
    </w:p>
    <w:p w:rsidR="00000000" w:rsidRDefault="009877E5">
      <w:pPr>
        <w:spacing w:line="360" w:lineRule="auto"/>
        <w:rPr>
          <w:rFonts w:cs="David"/>
          <w:sz w:val="26"/>
          <w:szCs w:val="26"/>
          <w:rtl/>
        </w:rPr>
      </w:pPr>
      <w:r>
        <w:rPr>
          <w:rFonts w:cs="David"/>
          <w:sz w:val="26"/>
          <w:szCs w:val="26"/>
          <w:rtl/>
        </w:rPr>
        <w:t>כ"ג בתמוז התשס"ו – 19.7.06</w:t>
      </w:r>
    </w:p>
    <w:p w:rsidR="00000000" w:rsidRDefault="009877E5">
      <w:pPr>
        <w:spacing w:line="360" w:lineRule="auto"/>
        <w:rPr>
          <w:rFonts w:cs="David"/>
          <w:sz w:val="26"/>
          <w:szCs w:val="26"/>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877E5">
      <w:r>
        <w:separator/>
      </w:r>
    </w:p>
  </w:endnote>
  <w:endnote w:type="continuationSeparator" w:id="0">
    <w:p w:rsidR="00000000" w:rsidRDefault="00987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877E5">
      <w:r>
        <w:separator/>
      </w:r>
    </w:p>
  </w:footnote>
  <w:footnote w:type="continuationSeparator" w:id="0">
    <w:p w:rsidR="00000000" w:rsidRDefault="009877E5">
      <w:r>
        <w:continuationSeparator/>
      </w:r>
    </w:p>
  </w:footnote>
  <w:footnote w:id="1">
    <w:p w:rsidR="00000000" w:rsidRDefault="009877E5">
      <w:pPr>
        <w:pStyle w:val="a8"/>
      </w:pPr>
      <w:r>
        <w:rPr>
          <w:rStyle w:val="aa"/>
          <w:rFonts w:cs="David"/>
        </w:rPr>
        <w:footnoteRef/>
      </w:r>
      <w:r>
        <w:rPr>
          <w:rFonts w:cs="David"/>
          <w:rtl/>
        </w:rPr>
        <w:t xml:space="preserve"> ס"ח התשס"ה, עמ' 70.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877E5">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9877E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E0003"/>
    <w:multiLevelType w:val="hybridMultilevel"/>
    <w:tmpl w:val="8F68FF36"/>
    <w:lvl w:ilvl="0" w:tplc="95E4D4A0">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795E586F"/>
    <w:multiLevelType w:val="hybridMultilevel"/>
    <w:tmpl w:val="0194C750"/>
    <w:lvl w:ilvl="0" w:tplc="088A02D4">
      <w:start w:val="1"/>
      <w:numFmt w:val="hebrew1"/>
      <w:lvlText w:val="%1."/>
      <w:lvlJc w:val="left"/>
      <w:pPr>
        <w:tabs>
          <w:tab w:val="num" w:pos="720"/>
        </w:tabs>
        <w:ind w:left="720" w:hanging="360"/>
      </w:pPr>
      <w:rPr>
        <w:rFonts w:cs="Times New Roman" w:hint="default"/>
        <w:sz w:val="20"/>
        <w:szCs w:val="20"/>
      </w:rPr>
    </w:lvl>
    <w:lvl w:ilvl="1" w:tplc="040D0011">
      <w:start w:val="1"/>
      <w:numFmt w:val="decimal"/>
      <w:lvlText w:val="%2)"/>
      <w:lvlJc w:val="left"/>
      <w:pPr>
        <w:tabs>
          <w:tab w:val="num" w:pos="1440"/>
        </w:tabs>
        <w:ind w:left="1440" w:hanging="360"/>
      </w:pPr>
      <w:rPr>
        <w:rFonts w:cs="Times New Roman" w:hint="default"/>
        <w:sz w:val="20"/>
        <w:szCs w:val="20"/>
      </w:rPr>
    </w:lvl>
    <w:lvl w:ilvl="2" w:tplc="040D0013">
      <w:start w:val="1"/>
      <w:numFmt w:val="hebrew1"/>
      <w:lvlText w:val="%3."/>
      <w:lvlJc w:val="center"/>
      <w:pPr>
        <w:tabs>
          <w:tab w:val="num" w:pos="2340"/>
        </w:tabs>
        <w:ind w:left="2340" w:hanging="360"/>
      </w:pPr>
      <w:rPr>
        <w:rFonts w:cs="Times New Roman" w:hint="default"/>
        <w:sz w:val="20"/>
        <w:szCs w:val="2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2133ðååä- àøåçä éåîéú ìúìîéã- äçìú äçå÷ åòãëåï úôøéè.doc"/>
    <w:docVar w:name="StartMode" w:val="2"/>
  </w:docVars>
  <w:rsids>
    <w:rsidRoot w:val="009877E5"/>
    <w:rsid w:val="00987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ody Text"/>
    <w:basedOn w:val="a"/>
    <w:link w:val="ac"/>
    <w:uiPriority w:val="99"/>
    <w:pPr>
      <w:spacing w:line="300" w:lineRule="exact"/>
    </w:pPr>
    <w:rPr>
      <w:sz w:val="28"/>
      <w:szCs w:val="28"/>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Words>
  <Characters>3660</Characters>
  <Application>Microsoft Office Word</Application>
  <DocSecurity>0</DocSecurity>
  <Lines>30</Lines>
  <Paragraphs>8</Paragraphs>
  <ScaleCrop>false</ScaleCrop>
  <Company>Knesset</Company>
  <LinksUpToDate>false</LinksUpToDate>
  <CharactersWithSpaces>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ארוחה יומית לתלמיד (תיקון - החלת החוק ועדכון תפריט), התשס"ו-2006</dc:title>
  <dc:subject/>
  <dc:creator>Knesset</dc:creator>
  <cp:keywords/>
  <dc:description/>
  <cp:lastModifiedBy>שמואל כוכב</cp:lastModifiedBy>
  <cp:revision>2</cp:revision>
  <cp:lastPrinted>2006-07-18T16:08:00Z</cp:lastPrinted>
  <dcterms:created xsi:type="dcterms:W3CDTF">2015-02-03T16:55:00Z</dcterms:created>
  <dcterms:modified xsi:type="dcterms:W3CDTF">2015-02-03T16:55:00Z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85</vt:lpwstr>
  </property>
  <property fmtid="{D5CDD505-2E9C-101B-9397-08002B2CF9AE}" pid="3" name="AutoNumber">
    <vt:lpwstr>04047406</vt:lpwstr>
  </property>
  <property fmtid="{D5CDD505-2E9C-101B-9397-08002B2CF9AE}" pid="4" name="מספר הצעת חוק למיון">
    <vt:lpwstr>1479</vt:lpwstr>
  </property>
  <property fmtid="{D5CDD505-2E9C-101B-9397-08002B2CF9AE}" pid="5" name="SDDocDate">
    <vt:lpwstr>2006-07-18T00:00:00Z</vt:lpwstr>
  </property>
  <property fmtid="{D5CDD505-2E9C-101B-9397-08002B2CF9AE}" pid="6" name="SDHebDate">
    <vt:lpwstr>כ"ב בתמוז, התשס"ו</vt:lpwstr>
  </property>
  <property fmtid="{D5CDD505-2E9C-101B-9397-08002B2CF9AE}" pid="7" name="SDCategories">
    <vt:lpwstr>:דף הבית:נושאים:חקיקה:נוסח לדיון מוקדם;#:הלשכה המשפטית:הצעות חוק - כנסת 17;#</vt:lpwstr>
  </property>
  <property fmtid="{D5CDD505-2E9C-101B-9397-08002B2CF9AE}" pid="8" name="תאריך הנחה">
    <vt:lpwstr/>
  </property>
  <property fmtid="{D5CDD505-2E9C-101B-9397-08002B2CF9AE}" pid="9" name="HebrewDate">
    <vt:lpwstr/>
  </property>
  <property fmtid="{D5CDD505-2E9C-101B-9397-08002B2CF9AE}" pid="10" name="SDAuthor">
    <vt:lpwstr>כוכי שבתאי</vt:lpwstr>
  </property>
  <property fmtid="{D5CDD505-2E9C-101B-9397-08002B2CF9AE}" pid="11" name="MechaberMismach">
    <vt:lpwstr/>
  </property>
  <property fmtid="{D5CDD505-2E9C-101B-9397-08002B2CF9AE}" pid="12" name="MisHatzaatChok">
    <vt:lpwstr>פ/1479/17</vt:lpwstr>
  </property>
  <property fmtid="{D5CDD505-2E9C-101B-9397-08002B2CF9AE}" pid="13" name="YozemHatzaa_ChakList">
    <vt:lpwstr>דני נוה</vt:lpwstr>
  </property>
  <property fmtid="{D5CDD505-2E9C-101B-9397-08002B2CF9AE}" pid="14" name="SDRemark">
    <vt:lpwstr/>
  </property>
  <property fmtid="{D5CDD505-2E9C-101B-9397-08002B2CF9AE}" pid="15" name="SDOfflineTo">
    <vt:lpwstr/>
  </property>
  <property fmtid="{D5CDD505-2E9C-101B-9397-08002B2CF9AE}" pid="16" name="SDDistList">
    <vt:lpwstr/>
  </property>
  <property fmtid="{D5CDD505-2E9C-101B-9397-08002B2CF9AE}" pid="17" name="SDDistDate">
    <vt:lpwstr/>
  </property>
  <property fmtid="{D5CDD505-2E9C-101B-9397-08002B2CF9AE}" pid="18" name="SDOriginalID">
    <vt:lpwstr/>
  </property>
  <property fmtid="{D5CDD505-2E9C-101B-9397-08002B2CF9AE}" pid="19" name="SDSenderName">
    <vt:lpwstr/>
  </property>
  <property fmtid="{D5CDD505-2E9C-101B-9397-08002B2CF9AE}" pid="20" name="SDToList">
    <vt:lpwstr/>
  </property>
  <property fmtid="{D5CDD505-2E9C-101B-9397-08002B2CF9AE}" pid="21" name="SDCCList">
    <vt:lpwstr/>
  </property>
  <property fmtid="{D5CDD505-2E9C-101B-9397-08002B2CF9AE}" pid="22" name="STHasReminders">
    <vt:lpwstr>0</vt:lpwstr>
  </property>
  <property fmtid="{D5CDD505-2E9C-101B-9397-08002B2CF9AE}" pid="23" name="SDLink">
    <vt:lpwstr>, </vt:lpwstr>
  </property>
  <property fmtid="{D5CDD505-2E9C-101B-9397-08002B2CF9AE}" pid="24" name="Num_Gim1">
    <vt:lpwstr/>
  </property>
  <property fmtid="{D5CDD505-2E9C-101B-9397-08002B2CF9AE}" pid="25" name="NoseA">
    <vt:lpwstr/>
  </property>
  <property fmtid="{D5CDD505-2E9C-101B-9397-08002B2CF9AE}" pid="26" name="NoseB">
    <vt:lpwstr/>
  </property>
  <property fmtid="{D5CDD505-2E9C-101B-9397-08002B2CF9AE}" pid="27" name="knesset_number">
    <vt:lpwstr/>
  </property>
  <property fmtid="{D5CDD505-2E9C-101B-9397-08002B2CF9AE}" pid="28" name="ValidFrom">
    <vt:lpwstr/>
  </property>
  <property fmtid="{D5CDD505-2E9C-101B-9397-08002B2CF9AE}" pid="29" name="ValidUntill">
    <vt:lpwstr/>
  </property>
  <property fmtid="{D5CDD505-2E9C-101B-9397-08002B2CF9AE}" pid="30" name="To1">
    <vt:lpwstr/>
  </property>
  <property fmtid="{D5CDD505-2E9C-101B-9397-08002B2CF9AE}" pid="31" name="From">
    <vt:lpwstr/>
  </property>
  <property fmtid="{D5CDD505-2E9C-101B-9397-08002B2CF9AE}" pid="32" name="body">
    <vt:lpwstr/>
  </property>
</Properties>
</file>