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43BDF">
      <w:pPr>
        <w:pStyle w:val="a3"/>
        <w:rPr>
          <w:rFonts w:cs="David"/>
          <w:b w:val="0"/>
          <w:bCs w:val="0"/>
          <w:sz w:val="26"/>
          <w:szCs w:val="26"/>
          <w:u w:val="none"/>
          <w:rtl/>
        </w:rPr>
      </w:pPr>
      <w:bookmarkStart w:id="0" w:name="_GoBack"/>
      <w:bookmarkEnd w:id="0"/>
      <w:r>
        <w:rPr>
          <w:rFonts w:cs="David"/>
          <w:u w:val="none"/>
          <w:rtl/>
        </w:rPr>
        <w:t>הכנסת השבע-עשרה</w:t>
      </w:r>
    </w:p>
    <w:p w:rsidR="00000000" w:rsidRDefault="00443BDF">
      <w:pPr>
        <w:tabs>
          <w:tab w:val="left" w:pos="2734"/>
        </w:tabs>
        <w:ind w:left="-9" w:firstLine="9"/>
        <w:rPr>
          <w:rFonts w:cs="David"/>
          <w:sz w:val="26"/>
          <w:szCs w:val="26"/>
          <w:rtl/>
        </w:rPr>
      </w:pPr>
    </w:p>
    <w:p w:rsidR="00000000" w:rsidRDefault="00443BDF">
      <w:pPr>
        <w:tabs>
          <w:tab w:val="left" w:pos="2734"/>
        </w:tabs>
        <w:ind w:left="-9" w:firstLine="9"/>
        <w:rPr>
          <w:rFonts w:cs="David"/>
          <w:sz w:val="26"/>
          <w:szCs w:val="26"/>
          <w:rtl/>
        </w:rPr>
      </w:pPr>
    </w:p>
    <w:tbl>
      <w:tblPr>
        <w:bidiVisual/>
        <w:tblW w:w="0" w:type="auto"/>
        <w:tblInd w:w="4759" w:type="dxa"/>
        <w:tblBorders>
          <w:bottom w:val="single" w:sz="4" w:space="0" w:color="auto"/>
        </w:tblBorders>
        <w:tblLook w:val="0000" w:firstRow="0" w:lastRow="0" w:firstColumn="0" w:lastColumn="0" w:noHBand="0" w:noVBand="0"/>
      </w:tblPr>
      <w:tblGrid>
        <w:gridCol w:w="2201"/>
        <w:gridCol w:w="1562"/>
      </w:tblGrid>
      <w:tr w:rsidR="00000000">
        <w:tblPrEx>
          <w:tblCellMar>
            <w:top w:w="0" w:type="dxa"/>
            <w:bottom w:w="0" w:type="dxa"/>
          </w:tblCellMar>
        </w:tblPrEx>
        <w:trPr>
          <w:cantSplit/>
        </w:trPr>
        <w:tc>
          <w:tcPr>
            <w:tcW w:w="2844" w:type="dxa"/>
            <w:tcBorders>
              <w:top w:val="nil"/>
              <w:left w:val="nil"/>
              <w:bottom w:val="nil"/>
              <w:right w:val="nil"/>
            </w:tcBorders>
          </w:tcPr>
          <w:p w:rsidR="00000000" w:rsidRDefault="00443BDF">
            <w:pPr>
              <w:tabs>
                <w:tab w:val="left" w:pos="2770"/>
                <w:tab w:val="left" w:pos="6192"/>
              </w:tabs>
              <w:spacing w:line="360" w:lineRule="auto"/>
              <w:ind w:firstLine="11"/>
              <w:rPr>
                <w:rFonts w:cs="David"/>
                <w:sz w:val="26"/>
                <w:szCs w:val="26"/>
              </w:rPr>
            </w:pPr>
            <w:r>
              <w:rPr>
                <w:rFonts w:cs="David"/>
                <w:sz w:val="26"/>
                <w:szCs w:val="26"/>
                <w:rtl/>
              </w:rPr>
              <w:t>הצעת</w:t>
            </w:r>
            <w:r>
              <w:rPr>
                <w:rFonts w:cs="David"/>
                <w:sz w:val="26"/>
                <w:szCs w:val="26"/>
              </w:rPr>
              <w:t xml:space="preserve"> </w:t>
            </w:r>
            <w:r>
              <w:rPr>
                <w:rFonts w:cs="David"/>
                <w:sz w:val="26"/>
                <w:szCs w:val="26"/>
                <w:rtl/>
              </w:rPr>
              <w:t xml:space="preserve">חוק של חברי הכנסת  </w:t>
            </w:r>
          </w:p>
        </w:tc>
        <w:tc>
          <w:tcPr>
            <w:tcW w:w="1836" w:type="dxa"/>
            <w:tcBorders>
              <w:top w:val="nil"/>
              <w:left w:val="nil"/>
              <w:bottom w:val="nil"/>
              <w:right w:val="nil"/>
            </w:tcBorders>
          </w:tcPr>
          <w:p w:rsidR="00000000" w:rsidRDefault="00443BDF">
            <w:pPr>
              <w:tabs>
                <w:tab w:val="left" w:pos="2770"/>
                <w:tab w:val="left" w:pos="6192"/>
              </w:tabs>
              <w:spacing w:line="360" w:lineRule="auto"/>
              <w:ind w:firstLine="11"/>
              <w:rPr>
                <w:rFonts w:cs="David"/>
                <w:b/>
                <w:bCs/>
                <w:sz w:val="26"/>
                <w:szCs w:val="26"/>
              </w:rPr>
            </w:pPr>
            <w:r>
              <w:rPr>
                <w:rFonts w:cs="David"/>
                <w:b/>
                <w:bCs/>
                <w:sz w:val="26"/>
                <w:szCs w:val="26"/>
                <w:rtl/>
              </w:rPr>
              <w:t>אחמד טיבי</w:t>
            </w:r>
          </w:p>
        </w:tc>
      </w:tr>
      <w:tr w:rsidR="00000000">
        <w:tblPrEx>
          <w:tblCellMar>
            <w:top w:w="0" w:type="dxa"/>
            <w:bottom w:w="0" w:type="dxa"/>
          </w:tblCellMar>
        </w:tblPrEx>
        <w:trPr>
          <w:cantSplit/>
        </w:trPr>
        <w:tc>
          <w:tcPr>
            <w:tcW w:w="2844" w:type="dxa"/>
            <w:tcBorders>
              <w:top w:val="nil"/>
              <w:left w:val="nil"/>
              <w:bottom w:val="nil"/>
              <w:right w:val="nil"/>
            </w:tcBorders>
          </w:tcPr>
          <w:p w:rsidR="00000000" w:rsidRDefault="00443BDF">
            <w:pPr>
              <w:tabs>
                <w:tab w:val="left" w:pos="2770"/>
                <w:tab w:val="left" w:pos="6192"/>
              </w:tabs>
              <w:spacing w:line="360" w:lineRule="auto"/>
              <w:ind w:firstLine="11"/>
              <w:rPr>
                <w:rFonts w:cs="David"/>
                <w:sz w:val="26"/>
                <w:szCs w:val="26"/>
                <w:rtl/>
              </w:rPr>
            </w:pPr>
          </w:p>
        </w:tc>
        <w:tc>
          <w:tcPr>
            <w:tcW w:w="1836" w:type="dxa"/>
            <w:tcBorders>
              <w:top w:val="nil"/>
              <w:left w:val="nil"/>
              <w:bottom w:val="nil"/>
              <w:right w:val="nil"/>
            </w:tcBorders>
          </w:tcPr>
          <w:p w:rsidR="00000000" w:rsidRDefault="00443BDF">
            <w:pPr>
              <w:tabs>
                <w:tab w:val="left" w:pos="2770"/>
                <w:tab w:val="left" w:pos="6192"/>
              </w:tabs>
              <w:spacing w:line="360" w:lineRule="auto"/>
              <w:ind w:firstLine="11"/>
              <w:rPr>
                <w:rFonts w:cs="David"/>
                <w:sz w:val="26"/>
                <w:szCs w:val="26"/>
                <w:rtl/>
              </w:rPr>
            </w:pPr>
            <w:r>
              <w:rPr>
                <w:rFonts w:cs="David"/>
                <w:sz w:val="26"/>
                <w:szCs w:val="26"/>
                <w:rtl/>
              </w:rPr>
              <w:t>אברהים צרצור</w:t>
            </w:r>
          </w:p>
        </w:tc>
      </w:tr>
      <w:tr w:rsidR="00000000">
        <w:tblPrEx>
          <w:tblCellMar>
            <w:top w:w="0" w:type="dxa"/>
            <w:bottom w:w="0" w:type="dxa"/>
          </w:tblCellMar>
        </w:tblPrEx>
        <w:trPr>
          <w:cantSplit/>
        </w:trPr>
        <w:tc>
          <w:tcPr>
            <w:tcW w:w="2844" w:type="dxa"/>
            <w:tcBorders>
              <w:top w:val="nil"/>
              <w:left w:val="nil"/>
              <w:bottom w:val="nil"/>
              <w:right w:val="nil"/>
            </w:tcBorders>
          </w:tcPr>
          <w:p w:rsidR="00000000" w:rsidRDefault="00443BDF">
            <w:pPr>
              <w:tabs>
                <w:tab w:val="left" w:pos="2770"/>
                <w:tab w:val="left" w:pos="6192"/>
              </w:tabs>
              <w:spacing w:line="360" w:lineRule="auto"/>
              <w:ind w:firstLine="11"/>
              <w:rPr>
                <w:rFonts w:cs="David"/>
                <w:sz w:val="26"/>
                <w:szCs w:val="26"/>
                <w:rtl/>
              </w:rPr>
            </w:pPr>
          </w:p>
        </w:tc>
        <w:tc>
          <w:tcPr>
            <w:tcW w:w="1836" w:type="dxa"/>
            <w:tcBorders>
              <w:top w:val="nil"/>
              <w:left w:val="nil"/>
              <w:bottom w:val="nil"/>
              <w:right w:val="nil"/>
            </w:tcBorders>
          </w:tcPr>
          <w:p w:rsidR="00000000" w:rsidRDefault="00443BDF">
            <w:pPr>
              <w:tabs>
                <w:tab w:val="left" w:pos="2770"/>
                <w:tab w:val="left" w:pos="6192"/>
              </w:tabs>
              <w:spacing w:line="360" w:lineRule="auto"/>
              <w:ind w:firstLine="11"/>
              <w:rPr>
                <w:rFonts w:cs="David"/>
                <w:sz w:val="26"/>
                <w:szCs w:val="26"/>
                <w:rtl/>
              </w:rPr>
            </w:pPr>
            <w:r>
              <w:rPr>
                <w:rFonts w:cs="David"/>
                <w:sz w:val="26"/>
                <w:szCs w:val="26"/>
                <w:rtl/>
              </w:rPr>
              <w:t>טאלב אלסאנע</w:t>
            </w:r>
          </w:p>
        </w:tc>
      </w:tr>
      <w:tr w:rsidR="00000000">
        <w:tblPrEx>
          <w:tblCellMar>
            <w:top w:w="0" w:type="dxa"/>
            <w:bottom w:w="0" w:type="dxa"/>
          </w:tblCellMar>
        </w:tblPrEx>
        <w:trPr>
          <w:cantSplit/>
        </w:trPr>
        <w:tc>
          <w:tcPr>
            <w:tcW w:w="2844" w:type="dxa"/>
            <w:tcBorders>
              <w:top w:val="nil"/>
              <w:left w:val="nil"/>
              <w:bottom w:val="single" w:sz="4" w:space="0" w:color="auto"/>
              <w:right w:val="nil"/>
            </w:tcBorders>
          </w:tcPr>
          <w:p w:rsidR="00000000" w:rsidRDefault="00443BDF">
            <w:pPr>
              <w:tabs>
                <w:tab w:val="left" w:pos="2770"/>
                <w:tab w:val="left" w:pos="6192"/>
              </w:tabs>
              <w:spacing w:line="360" w:lineRule="auto"/>
              <w:ind w:firstLine="11"/>
              <w:rPr>
                <w:rFonts w:cs="David"/>
                <w:sz w:val="26"/>
                <w:szCs w:val="26"/>
                <w:rtl/>
              </w:rPr>
            </w:pPr>
          </w:p>
        </w:tc>
        <w:tc>
          <w:tcPr>
            <w:tcW w:w="1836" w:type="dxa"/>
            <w:tcBorders>
              <w:top w:val="nil"/>
              <w:left w:val="nil"/>
              <w:bottom w:val="single" w:sz="4" w:space="0" w:color="auto"/>
              <w:right w:val="nil"/>
            </w:tcBorders>
          </w:tcPr>
          <w:p w:rsidR="00000000" w:rsidRDefault="00443BDF">
            <w:pPr>
              <w:tabs>
                <w:tab w:val="left" w:pos="2770"/>
                <w:tab w:val="left" w:pos="6192"/>
              </w:tabs>
              <w:spacing w:line="360" w:lineRule="auto"/>
              <w:ind w:firstLine="11"/>
              <w:rPr>
                <w:rFonts w:cs="David"/>
                <w:sz w:val="26"/>
                <w:szCs w:val="26"/>
                <w:rtl/>
              </w:rPr>
            </w:pPr>
            <w:r>
              <w:rPr>
                <w:rFonts w:cs="David"/>
                <w:sz w:val="26"/>
                <w:szCs w:val="26"/>
                <w:rtl/>
              </w:rPr>
              <w:t>עבאס זכור</w:t>
            </w:r>
          </w:p>
        </w:tc>
      </w:tr>
    </w:tbl>
    <w:p w:rsidR="00000000" w:rsidRDefault="00443BDF">
      <w:pPr>
        <w:ind w:left="5426"/>
        <w:rPr>
          <w:rFonts w:cs="David"/>
          <w:b/>
          <w:bCs/>
          <w:rtl/>
        </w:rPr>
      </w:pPr>
      <w:r>
        <w:rPr>
          <w:rFonts w:cs="David"/>
          <w:b/>
          <w:bCs/>
          <w:rtl/>
        </w:rPr>
        <w:t xml:space="preserve">   פ/741/17</w:t>
      </w:r>
    </w:p>
    <w:p w:rsidR="00000000" w:rsidRDefault="00443BDF">
      <w:pPr>
        <w:jc w:val="center"/>
        <w:rPr>
          <w:rFonts w:cs="David"/>
          <w:sz w:val="32"/>
          <w:szCs w:val="32"/>
          <w:rtl/>
        </w:rPr>
      </w:pP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26"/>
          <w:szCs w:val="26"/>
          <w:rtl/>
        </w:rPr>
        <w:tab/>
      </w:r>
    </w:p>
    <w:p w:rsidR="00000000" w:rsidRDefault="00443BDF">
      <w:pPr>
        <w:rPr>
          <w:rFonts w:cs="David"/>
          <w:sz w:val="26"/>
          <w:szCs w:val="26"/>
          <w:rtl/>
        </w:rPr>
      </w:pPr>
    </w:p>
    <w:p w:rsidR="00000000" w:rsidRDefault="00443BDF">
      <w:pPr>
        <w:jc w:val="center"/>
        <w:rPr>
          <w:rFonts w:cs="David"/>
          <w:b/>
          <w:bCs/>
          <w:sz w:val="28"/>
          <w:szCs w:val="28"/>
          <w:rtl/>
        </w:rPr>
      </w:pPr>
      <w:r>
        <w:rPr>
          <w:rFonts w:cs="David"/>
          <w:b/>
          <w:bCs/>
          <w:sz w:val="28"/>
          <w:szCs w:val="28"/>
          <w:rtl/>
        </w:rPr>
        <w:t>הצעת חוק לתיקון פקודת המשטרה (הרכב המחלקה</w:t>
      </w:r>
      <w:r>
        <w:rPr>
          <w:rFonts w:cs="David"/>
          <w:b/>
          <w:bCs/>
          <w:sz w:val="28"/>
          <w:szCs w:val="28"/>
          <w:rtl/>
        </w:rPr>
        <w:t xml:space="preserve"> לחקירת שוטרים), התשס"ו-2006</w:t>
      </w:r>
    </w:p>
    <w:p w:rsidR="00000000" w:rsidRDefault="00443BDF">
      <w:pPr>
        <w:rPr>
          <w:rFonts w:cs="David"/>
          <w:sz w:val="26"/>
          <w:szCs w:val="26"/>
          <w:rtl/>
        </w:rPr>
      </w:pPr>
    </w:p>
    <w:p w:rsidR="00000000" w:rsidRDefault="00443BDF">
      <w:pPr>
        <w:rPr>
          <w:rFonts w:cs="David"/>
          <w:sz w:val="26"/>
          <w:szCs w:val="26"/>
          <w:rtl/>
        </w:rPr>
      </w:pPr>
    </w:p>
    <w:p w:rsidR="00000000" w:rsidRDefault="00443BDF">
      <w:pPr>
        <w:rPr>
          <w:rFonts w:cs="David"/>
          <w:sz w:val="26"/>
          <w:szCs w:val="26"/>
          <w:rtl/>
        </w:rPr>
      </w:pPr>
    </w:p>
    <w:tbl>
      <w:tblPr>
        <w:bidiVisual/>
        <w:tblW w:w="0" w:type="auto"/>
        <w:tblCellMar>
          <w:left w:w="57" w:type="dxa"/>
          <w:right w:w="57" w:type="dxa"/>
        </w:tblCellMar>
        <w:tblLook w:val="0000" w:firstRow="0" w:lastRow="0" w:firstColumn="0" w:lastColumn="0" w:noHBand="0" w:noVBand="0"/>
      </w:tblPr>
      <w:tblGrid>
        <w:gridCol w:w="1080"/>
        <w:gridCol w:w="549"/>
        <w:gridCol w:w="6708"/>
      </w:tblGrid>
      <w:tr w:rsidR="00000000">
        <w:tblPrEx>
          <w:tblCellMar>
            <w:top w:w="0" w:type="dxa"/>
            <w:bottom w:w="0" w:type="dxa"/>
          </w:tblCellMar>
        </w:tblPrEx>
        <w:trPr>
          <w:cantSplit/>
          <w:trHeight w:val="773"/>
        </w:trPr>
        <w:tc>
          <w:tcPr>
            <w:tcW w:w="1080" w:type="dxa"/>
            <w:tcBorders>
              <w:top w:val="nil"/>
              <w:left w:val="nil"/>
              <w:bottom w:val="nil"/>
              <w:right w:val="nil"/>
            </w:tcBorders>
          </w:tcPr>
          <w:p w:rsidR="00000000" w:rsidRDefault="00443BDF">
            <w:pPr>
              <w:pStyle w:val="ab"/>
              <w:spacing w:line="240" w:lineRule="auto"/>
              <w:rPr>
                <w:rFonts w:cs="David"/>
                <w:rtl/>
              </w:rPr>
            </w:pPr>
            <w:r>
              <w:rPr>
                <w:rFonts w:cs="David"/>
                <w:rtl/>
              </w:rPr>
              <w:t>תיקון סעיף 49ט</w:t>
            </w:r>
          </w:p>
          <w:p w:rsidR="00000000" w:rsidRDefault="00443BDF">
            <w:pPr>
              <w:spacing w:after="120"/>
              <w:rPr>
                <w:rFonts w:cs="David"/>
                <w:sz w:val="26"/>
                <w:szCs w:val="26"/>
                <w:rtl/>
              </w:rPr>
            </w:pPr>
          </w:p>
        </w:tc>
        <w:tc>
          <w:tcPr>
            <w:tcW w:w="549" w:type="dxa"/>
            <w:tcBorders>
              <w:top w:val="nil"/>
              <w:left w:val="nil"/>
              <w:bottom w:val="nil"/>
              <w:right w:val="nil"/>
            </w:tcBorders>
          </w:tcPr>
          <w:p w:rsidR="00000000" w:rsidRDefault="00443BDF">
            <w:pPr>
              <w:spacing w:after="120"/>
              <w:rPr>
                <w:rFonts w:cs="David"/>
                <w:sz w:val="26"/>
                <w:szCs w:val="26"/>
              </w:rPr>
            </w:pPr>
            <w:r>
              <w:rPr>
                <w:rFonts w:cs="David"/>
                <w:sz w:val="26"/>
                <w:szCs w:val="26"/>
                <w:rtl/>
              </w:rPr>
              <w:t>1.</w:t>
            </w:r>
          </w:p>
        </w:tc>
        <w:tc>
          <w:tcPr>
            <w:tcW w:w="6708" w:type="dxa"/>
            <w:tcBorders>
              <w:top w:val="nil"/>
              <w:left w:val="nil"/>
              <w:bottom w:val="nil"/>
              <w:right w:val="nil"/>
            </w:tcBorders>
          </w:tcPr>
          <w:p w:rsidR="00000000" w:rsidRDefault="00443BDF">
            <w:pPr>
              <w:spacing w:after="120" w:line="360" w:lineRule="auto"/>
              <w:jc w:val="both"/>
              <w:rPr>
                <w:rFonts w:cs="David"/>
                <w:sz w:val="26"/>
                <w:szCs w:val="26"/>
              </w:rPr>
            </w:pPr>
            <w:r>
              <w:rPr>
                <w:rFonts w:cs="David"/>
                <w:sz w:val="26"/>
                <w:szCs w:val="26"/>
                <w:rtl/>
              </w:rPr>
              <w:t>בפקודת המשטרה, התשל"א-1971</w:t>
            </w:r>
            <w:r>
              <w:rPr>
                <w:rStyle w:val="aa"/>
                <w:rFonts w:cs="David"/>
                <w:sz w:val="26"/>
                <w:szCs w:val="26"/>
              </w:rPr>
              <w:footnoteReference w:id="1"/>
            </w:r>
            <w:r>
              <w:rPr>
                <w:rFonts w:cs="David"/>
                <w:sz w:val="26"/>
                <w:szCs w:val="26"/>
                <w:rtl/>
              </w:rPr>
              <w:t xml:space="preserve"> בסעיף 49ט(א), בסופו יבוא "במחלקה לא יכהנו שוטרים או מי ששימשו בעבר כשוטרים".   </w:t>
            </w:r>
          </w:p>
        </w:tc>
      </w:tr>
    </w:tbl>
    <w:p w:rsidR="00000000" w:rsidRDefault="00443BDF">
      <w:pPr>
        <w:rPr>
          <w:rFonts w:cs="David"/>
          <w:sz w:val="26"/>
          <w:szCs w:val="26"/>
          <w:rtl/>
        </w:rPr>
      </w:pPr>
    </w:p>
    <w:p w:rsidR="00000000" w:rsidRDefault="00443BDF">
      <w:pPr>
        <w:jc w:val="both"/>
        <w:rPr>
          <w:rFonts w:cs="David"/>
          <w:sz w:val="26"/>
          <w:szCs w:val="26"/>
          <w:rtl/>
        </w:rPr>
      </w:pPr>
    </w:p>
    <w:p w:rsidR="00000000" w:rsidRDefault="00443BDF">
      <w:pPr>
        <w:jc w:val="both"/>
        <w:rPr>
          <w:rFonts w:cs="David"/>
          <w:sz w:val="26"/>
          <w:szCs w:val="26"/>
          <w:rtl/>
        </w:rPr>
      </w:pPr>
    </w:p>
    <w:p w:rsidR="00000000" w:rsidRDefault="00443BDF">
      <w:pPr>
        <w:pStyle w:val="1"/>
        <w:spacing w:line="360" w:lineRule="auto"/>
        <w:rPr>
          <w:rFonts w:cs="David"/>
          <w:b w:val="0"/>
          <w:bCs w:val="0"/>
          <w:sz w:val="26"/>
          <w:szCs w:val="26"/>
          <w:rtl/>
        </w:rPr>
      </w:pPr>
      <w:r>
        <w:rPr>
          <w:rFonts w:cs="David"/>
          <w:rtl/>
        </w:rPr>
        <w:t>דברי - הסבר</w:t>
      </w:r>
    </w:p>
    <w:p w:rsidR="00000000" w:rsidRDefault="00443BDF">
      <w:pPr>
        <w:spacing w:line="360" w:lineRule="auto"/>
        <w:jc w:val="both"/>
        <w:rPr>
          <w:rFonts w:cs="David"/>
          <w:rtl/>
        </w:rPr>
      </w:pPr>
    </w:p>
    <w:p w:rsidR="00000000" w:rsidRDefault="00443BDF">
      <w:pPr>
        <w:spacing w:after="120" w:line="360" w:lineRule="auto"/>
        <w:jc w:val="both"/>
        <w:rPr>
          <w:sz w:val="26"/>
          <w:szCs w:val="26"/>
          <w:rtl/>
        </w:rPr>
      </w:pPr>
      <w:r>
        <w:rPr>
          <w:rFonts w:cs="David"/>
          <w:sz w:val="26"/>
          <w:szCs w:val="26"/>
          <w:rtl/>
        </w:rPr>
        <w:t>לאור החלטת המחלקה לחקירת שוטרים לסגו</w:t>
      </w:r>
      <w:r>
        <w:rPr>
          <w:rFonts w:cs="David"/>
          <w:sz w:val="26"/>
          <w:szCs w:val="26"/>
          <w:rtl/>
        </w:rPr>
        <w:t xml:space="preserve">ר את תיקי החקירה נגד שוטרים שהוחשדו בירי קטלני לעבר שלושה-עשר אזרחים ערביים וכן החלטתה לסגור תיקים כנגד שוטרים בכפר מע'אר שהשתתפו או לא מנעו את ההתפרעויות ותקיפת הערבים הנוצרים תושבי מע'אר, מוצע לבטל את המחלקה לחקירת שוטרים במתכונתה הנוכחית, קרי למנוע מצב </w:t>
      </w:r>
      <w:r>
        <w:rPr>
          <w:rFonts w:cs="David"/>
          <w:sz w:val="26"/>
          <w:szCs w:val="26"/>
          <w:rtl/>
        </w:rPr>
        <w:t>שבו שוטרים או מי שעסקו בעבר במשטרה יכללו במחלקה זו.</w:t>
      </w:r>
    </w:p>
    <w:p w:rsidR="00000000" w:rsidRDefault="00443BDF">
      <w:pPr>
        <w:spacing w:after="120" w:line="360" w:lineRule="auto"/>
        <w:jc w:val="both"/>
        <w:rPr>
          <w:sz w:val="26"/>
          <w:szCs w:val="26"/>
          <w:rtl/>
        </w:rPr>
      </w:pPr>
    </w:p>
    <w:p w:rsidR="00000000" w:rsidRDefault="00443BDF">
      <w:pPr>
        <w:spacing w:after="120" w:line="360" w:lineRule="auto"/>
        <w:jc w:val="both"/>
        <w:rPr>
          <w:sz w:val="26"/>
          <w:szCs w:val="26"/>
          <w:rtl/>
        </w:rPr>
      </w:pPr>
    </w:p>
    <w:p w:rsidR="00000000" w:rsidRDefault="00443BDF">
      <w:pPr>
        <w:spacing w:after="120" w:line="360" w:lineRule="auto"/>
        <w:jc w:val="both"/>
        <w:rPr>
          <w:sz w:val="26"/>
          <w:szCs w:val="26"/>
          <w:rtl/>
        </w:rPr>
      </w:pPr>
      <w:r>
        <w:rPr>
          <w:sz w:val="26"/>
          <w:szCs w:val="26"/>
          <w:rtl/>
        </w:rPr>
        <w:t>------------------------------------</w:t>
      </w:r>
    </w:p>
    <w:p w:rsidR="00000000" w:rsidRDefault="00443BDF">
      <w:pPr>
        <w:spacing w:after="120" w:line="360" w:lineRule="auto"/>
        <w:jc w:val="both"/>
        <w:rPr>
          <w:rFonts w:cs="David"/>
          <w:sz w:val="26"/>
          <w:szCs w:val="26"/>
          <w:rtl/>
        </w:rPr>
      </w:pPr>
      <w:r>
        <w:rPr>
          <w:rFonts w:cs="David"/>
          <w:sz w:val="26"/>
          <w:szCs w:val="26"/>
          <w:rtl/>
        </w:rPr>
        <w:t>הוגשה ליו"ר הכנסת והסגנים</w:t>
      </w:r>
    </w:p>
    <w:p w:rsidR="00000000" w:rsidRDefault="00443BDF">
      <w:pPr>
        <w:spacing w:after="120" w:line="360" w:lineRule="auto"/>
        <w:jc w:val="both"/>
        <w:rPr>
          <w:rFonts w:cs="David"/>
          <w:sz w:val="26"/>
          <w:szCs w:val="26"/>
          <w:rtl/>
        </w:rPr>
      </w:pPr>
      <w:r>
        <w:rPr>
          <w:rFonts w:cs="David"/>
          <w:sz w:val="26"/>
          <w:szCs w:val="26"/>
          <w:rtl/>
        </w:rPr>
        <w:t>והונחה על שלחן הכנסת ביום</w:t>
      </w:r>
    </w:p>
    <w:p w:rsidR="00000000" w:rsidRDefault="00443BDF">
      <w:pPr>
        <w:spacing w:after="120" w:line="360" w:lineRule="auto"/>
        <w:jc w:val="both"/>
        <w:rPr>
          <w:rFonts w:cs="David"/>
          <w:sz w:val="26"/>
          <w:szCs w:val="26"/>
          <w:rtl/>
        </w:rPr>
      </w:pPr>
      <w:r>
        <w:rPr>
          <w:rFonts w:cs="David"/>
          <w:sz w:val="26"/>
          <w:szCs w:val="26"/>
          <w:rtl/>
        </w:rPr>
        <w:t>ל' בסיון התשס"ו – 26.6.06</w:t>
      </w:r>
    </w:p>
    <w:p w:rsidR="00000000" w:rsidRDefault="00443BDF">
      <w:pPr>
        <w:spacing w:line="360" w:lineRule="auto"/>
        <w:rPr>
          <w:sz w:val="26"/>
          <w:szCs w:val="26"/>
        </w:rPr>
      </w:pPr>
    </w:p>
    <w:p w:rsidR="00000000" w:rsidRDefault="00443BDF">
      <w:pPr>
        <w:pStyle w:val="a3"/>
        <w:jc w:val="left"/>
        <w:rPr>
          <w:rFonts w:cs="David"/>
          <w:u w:val="none"/>
        </w:rPr>
      </w:pPr>
    </w:p>
    <w:p w:rsidR="00000000" w:rsidRDefault="00443BDF">
      <w:pPr>
        <w:pStyle w:val="a3"/>
        <w:jc w:val="left"/>
        <w:rPr>
          <w:rFonts w:cs="David"/>
          <w:u w:val="none"/>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43BDF">
      <w:r>
        <w:separator/>
      </w:r>
    </w:p>
  </w:endnote>
  <w:endnote w:type="continuationSeparator" w:id="0">
    <w:p w:rsidR="00000000" w:rsidRDefault="00443B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0000000000000000000"/>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43BDF">
      <w:r>
        <w:separator/>
      </w:r>
    </w:p>
  </w:footnote>
  <w:footnote w:type="continuationSeparator" w:id="0">
    <w:p w:rsidR="00000000" w:rsidRDefault="00443BDF">
      <w:r>
        <w:continuationSeparator/>
      </w:r>
    </w:p>
  </w:footnote>
  <w:footnote w:id="1">
    <w:p w:rsidR="00000000" w:rsidRDefault="00443BDF">
      <w:pPr>
        <w:pStyle w:val="a8"/>
      </w:pPr>
      <w:r>
        <w:rPr>
          <w:rStyle w:val="aa"/>
          <w:rFonts w:cs="David"/>
        </w:rPr>
        <w:footnoteRef/>
      </w:r>
      <w:r>
        <w:rPr>
          <w:rFonts w:cs="David"/>
        </w:rPr>
        <w:t xml:space="preserve"> </w:t>
      </w:r>
      <w:r>
        <w:rPr>
          <w:rFonts w:cs="David"/>
          <w:rtl/>
        </w:rPr>
        <w:t xml:space="preserve"> דיני מדינת ישראל, נוסח חדש 17, עמ' 390.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43BDF">
    <w:pPr>
      <w:pStyle w:val="a5"/>
      <w:framePr w:wrap="auto" w:vAnchor="text" w:hAnchor="margin" w:xAlign="center"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443BDF">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31319äøëá äîçì÷ä ìç÷éøú ùåèøéí.doc"/>
    <w:docVar w:name="StartMode" w:val="2"/>
  </w:docVars>
  <w:rsids>
    <w:rsidRoot w:val="00443BDF"/>
    <w:rsid w:val="00443B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caption" w:uiPriority="35" w:qFormat="1"/>
    <w:lsdException w:name="footnote reference" w:unhideWhenUsed="0"/>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b/>
      <w:bCs/>
      <w:sz w:val="28"/>
      <w:szCs w:val="28"/>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rFonts w:eastAsia="Times New Roman"/>
      <w:b/>
      <w:bCs/>
      <w:sz w:val="28"/>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cs="Times New Roman"/>
    </w:rPr>
  </w:style>
  <w:style w:type="paragraph" w:styleId="a8">
    <w:name w:val="footnote text"/>
    <w:basedOn w:val="a"/>
    <w:link w:val="a9"/>
    <w:uiPriority w:val="99"/>
    <w:rPr>
      <w:sz w:val="20"/>
      <w:szCs w:val="20"/>
    </w:rPr>
  </w:style>
  <w:style w:type="character" w:customStyle="1" w:styleId="a9">
    <w:name w:val="טקסט הערת שוליים תו"/>
    <w:basedOn w:val="a0"/>
    <w:link w:val="a8"/>
    <w:uiPriority w:val="99"/>
    <w:semiHidden/>
    <w:rPr>
      <w:rFonts w:ascii="Times New Roman" w:hAnsi="Times New Roman" w:cs="Times New Roman"/>
      <w:sz w:val="20"/>
      <w:szCs w:val="20"/>
      <w:lang w:eastAsia="he-IL"/>
    </w:rPr>
  </w:style>
  <w:style w:type="character" w:styleId="aa">
    <w:name w:val="footnote reference"/>
    <w:basedOn w:val="a0"/>
    <w:uiPriority w:val="99"/>
    <w:rPr>
      <w:rFonts w:cs="Times New Roman"/>
      <w:vertAlign w:val="superscript"/>
    </w:rPr>
  </w:style>
  <w:style w:type="paragraph" w:styleId="ab">
    <w:name w:val="Body Text"/>
    <w:basedOn w:val="a"/>
    <w:link w:val="ac"/>
    <w:uiPriority w:val="99"/>
    <w:pPr>
      <w:spacing w:after="120" w:line="360" w:lineRule="auto"/>
    </w:pPr>
    <w:rPr>
      <w:rFonts w:eastAsia="Times New Roman"/>
      <w:sz w:val="26"/>
      <w:szCs w:val="26"/>
    </w:r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132</Words>
  <Characters>663</Characters>
  <Application>Microsoft Office Word</Application>
  <DocSecurity>0</DocSecurity>
  <Lines>5</Lines>
  <Paragraphs>1</Paragraphs>
  <ScaleCrop>false</ScaleCrop>
  <Company>knesset</Company>
  <LinksUpToDate>false</LinksUpToDate>
  <CharactersWithSpaces>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המשטרה (הרכב המחלקה לחקירת שוטרים), התשס"ו-2006</dc:title>
  <dc:subject/>
  <dc:creator>Knesset</dc:creator>
  <cp:keywords/>
  <dc:description/>
  <cp:lastModifiedBy>שמואל כוכב</cp:lastModifiedBy>
  <cp:revision>2</cp:revision>
  <cp:lastPrinted>2006-06-22T10:02:00Z</cp:lastPrinted>
  <dcterms:created xsi:type="dcterms:W3CDTF">2015-02-03T19:26:00Z</dcterms:created>
  <dcterms:modified xsi:type="dcterms:W3CDTF">2015-02-03T19:26:00Z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129</vt:i4>
  </property>
  <property fmtid="{D5CDD505-2E9C-101B-9397-08002B2CF9AE}" pid="3" name="Nose">
    <vt:lpwstr>':הלשכה המשפטית:חקיקה - נוסח:1.טיוטה לטרומית'_x000d__x000d_</vt:lpwstr>
  </property>
  <property fmtid="{D5CDD505-2E9C-101B-9397-08002B2CF9AE}" pid="4" name="Tizkoret">
    <vt:lpwstr/>
  </property>
  <property fmtid="{D5CDD505-2E9C-101B-9397-08002B2CF9AE}" pid="5" name="YozemHatzaa_ChakList">
    <vt:lpwstr>אחמד טיבי</vt:lpwstr>
  </property>
  <property fmtid="{D5CDD505-2E9C-101B-9397-08002B2CF9AE}" pid="6" name="סימוכין">
    <vt:i4>4583105</vt:i4>
  </property>
  <property fmtid="{D5CDD505-2E9C-101B-9397-08002B2CF9AE}" pid="7" name="תאריך המסמך">
    <vt:filetime>2005-03-03T22:00:00Z</vt:filetime>
  </property>
  <property fmtid="{D5CDD505-2E9C-101B-9397-08002B2CF9AE}" pid="8" name="CodeProfile">
    <vt:lpwstr>85</vt:lpwstr>
  </property>
  <property fmtid="{D5CDD505-2E9C-101B-9397-08002B2CF9AE}" pid="9" name="AutoNumber">
    <vt:lpwstr>03459206</vt:lpwstr>
  </property>
  <property fmtid="{D5CDD505-2E9C-101B-9397-08002B2CF9AE}" pid="10" name="מספר הצעת חוק למיון">
    <vt:lpwstr>741</vt:lpwstr>
  </property>
  <property fmtid="{D5CDD505-2E9C-101B-9397-08002B2CF9AE}" pid="11" name="SDDocDate">
    <vt:lpwstr>2006-06-22T00:00:00Z</vt:lpwstr>
  </property>
  <property fmtid="{D5CDD505-2E9C-101B-9397-08002B2CF9AE}" pid="12" name="SDHebDate">
    <vt:lpwstr>כ"ו בסיון, התשס"ו</vt:lpwstr>
  </property>
  <property fmtid="{D5CDD505-2E9C-101B-9397-08002B2CF9AE}" pid="13" name="SDCategories">
    <vt:lpwstr>:דף הבית:נושאים:חקיקה:נוסח לדיון מוקדם;#:הלשכה המשפטית:הצעות חוק - כנסת 17;#</vt:lpwstr>
  </property>
  <property fmtid="{D5CDD505-2E9C-101B-9397-08002B2CF9AE}" pid="14" name="תאריך הנחה">
    <vt:lpwstr/>
  </property>
  <property fmtid="{D5CDD505-2E9C-101B-9397-08002B2CF9AE}" pid="15" name="HebrewDate">
    <vt:lpwstr/>
  </property>
  <property fmtid="{D5CDD505-2E9C-101B-9397-08002B2CF9AE}" pid="16" name="SDAuthor">
    <vt:lpwstr>כוכי שבתאי</vt:lpwstr>
  </property>
  <property fmtid="{D5CDD505-2E9C-101B-9397-08002B2CF9AE}" pid="17" name="MechaberMismach">
    <vt:lpwstr/>
  </property>
  <property fmtid="{D5CDD505-2E9C-101B-9397-08002B2CF9AE}" pid="18" name="MisHatzaatChok">
    <vt:lpwstr>פ/741/17</vt:lpwstr>
  </property>
  <property fmtid="{D5CDD505-2E9C-101B-9397-08002B2CF9AE}" pid="19" name="SDRemark">
    <vt:lpwstr/>
  </property>
  <property fmtid="{D5CDD505-2E9C-101B-9397-08002B2CF9AE}" pid="20" name="SDOfflineTo">
    <vt:lpwstr/>
  </property>
  <property fmtid="{D5CDD505-2E9C-101B-9397-08002B2CF9AE}" pid="21" name="SDDistList">
    <vt:lpwstr/>
  </property>
  <property fmtid="{D5CDD505-2E9C-101B-9397-08002B2CF9AE}" pid="22" name="SDDistDate">
    <vt:lpwstr/>
  </property>
  <property fmtid="{D5CDD505-2E9C-101B-9397-08002B2CF9AE}" pid="23" name="SDOriginalID">
    <vt:lpwstr/>
  </property>
  <property fmtid="{D5CDD505-2E9C-101B-9397-08002B2CF9AE}" pid="24" name="SDSenderName">
    <vt:lpwstr/>
  </property>
  <property fmtid="{D5CDD505-2E9C-101B-9397-08002B2CF9AE}" pid="25" name="SDToList">
    <vt:lpwstr/>
  </property>
  <property fmtid="{D5CDD505-2E9C-101B-9397-08002B2CF9AE}" pid="26" name="SDCCList">
    <vt:lpwstr/>
  </property>
  <property fmtid="{D5CDD505-2E9C-101B-9397-08002B2CF9AE}" pid="27" name="STHasReminders">
    <vt:lpwstr>0</vt:lpwstr>
  </property>
  <property fmtid="{D5CDD505-2E9C-101B-9397-08002B2CF9AE}" pid="28" name="SDLink">
    <vt:lpwstr>, </vt:lpwstr>
  </property>
  <property fmtid="{D5CDD505-2E9C-101B-9397-08002B2CF9AE}" pid="29" name="Num_Gim1">
    <vt:lpwstr/>
  </property>
  <property fmtid="{D5CDD505-2E9C-101B-9397-08002B2CF9AE}" pid="30" name="NoseA">
    <vt:lpwstr/>
  </property>
  <property fmtid="{D5CDD505-2E9C-101B-9397-08002B2CF9AE}" pid="31" name="NoseB">
    <vt:lpwstr/>
  </property>
  <property fmtid="{D5CDD505-2E9C-101B-9397-08002B2CF9AE}" pid="32" name="knesset_number">
    <vt:lpwstr/>
  </property>
  <property fmtid="{D5CDD505-2E9C-101B-9397-08002B2CF9AE}" pid="33" name="ValidFrom">
    <vt:lpwstr/>
  </property>
  <property fmtid="{D5CDD505-2E9C-101B-9397-08002B2CF9AE}" pid="34" name="ValidUntill">
    <vt:lpwstr/>
  </property>
  <property fmtid="{D5CDD505-2E9C-101B-9397-08002B2CF9AE}" pid="35" name="To1">
    <vt:lpwstr/>
  </property>
  <property fmtid="{D5CDD505-2E9C-101B-9397-08002B2CF9AE}" pid="36" name="From">
    <vt:lpwstr/>
  </property>
  <property fmtid="{D5CDD505-2E9C-101B-9397-08002B2CF9AE}" pid="37" name="body">
    <vt:lpwstr/>
  </property>
</Properties>
</file>