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F04C94">
      <w:pPr>
        <w:pStyle w:val="a3"/>
        <w:spacing w:line="360" w:lineRule="auto"/>
        <w:rPr>
          <w:rFonts w:cs="David"/>
          <w:b w:val="0"/>
          <w:bCs w:val="0"/>
          <w:sz w:val="26"/>
          <w:szCs w:val="26"/>
          <w:u w:val="none"/>
          <w:rtl/>
        </w:rPr>
      </w:pPr>
      <w:bookmarkStart w:id="0" w:name="_GoBack"/>
      <w:bookmarkEnd w:id="0"/>
      <w:r>
        <w:rPr>
          <w:rFonts w:cs="David"/>
          <w:u w:val="none"/>
          <w:rtl/>
        </w:rPr>
        <w:t>הכנסת השבע-עשרה</w:t>
      </w:r>
    </w:p>
    <w:p w:rsidR="00000000" w:rsidRDefault="00F04C94">
      <w:pPr>
        <w:spacing w:line="360" w:lineRule="auto"/>
        <w:rPr>
          <w:rFonts w:cs="David"/>
          <w:sz w:val="26"/>
          <w:szCs w:val="26"/>
          <w:rtl/>
        </w:rPr>
      </w:pPr>
    </w:p>
    <w:tbl>
      <w:tblPr>
        <w:bidiVisual/>
        <w:tblW w:w="0" w:type="auto"/>
        <w:tblInd w:w="3751" w:type="dxa"/>
        <w:tblBorders>
          <w:bottom w:val="single" w:sz="4" w:space="0" w:color="auto"/>
        </w:tblBorders>
        <w:tblLook w:val="0000" w:firstRow="0" w:lastRow="0" w:firstColumn="0" w:lastColumn="0" w:noHBand="0" w:noVBand="0"/>
      </w:tblPr>
      <w:tblGrid>
        <w:gridCol w:w="3528"/>
      </w:tblGrid>
      <w:tr w:rsidR="00000000">
        <w:tblPrEx>
          <w:tblCellMar>
            <w:top w:w="0" w:type="dxa"/>
            <w:bottom w:w="0" w:type="dxa"/>
          </w:tblCellMar>
        </w:tblPrEx>
        <w:tc>
          <w:tcPr>
            <w:tcW w:w="3528" w:type="dxa"/>
            <w:tcBorders>
              <w:top w:val="nil"/>
              <w:left w:val="nil"/>
              <w:bottom w:val="single" w:sz="4" w:space="0" w:color="auto"/>
              <w:right w:val="nil"/>
            </w:tcBorders>
          </w:tcPr>
          <w:p w:rsidR="00000000" w:rsidRDefault="00F04C94">
            <w:pPr>
              <w:spacing w:after="120"/>
              <w:jc w:val="right"/>
              <w:rPr>
                <w:rFonts w:cs="David"/>
                <w:sz w:val="26"/>
                <w:szCs w:val="26"/>
              </w:rPr>
            </w:pPr>
            <w:r>
              <w:rPr>
                <w:rFonts w:cs="David"/>
                <w:sz w:val="26"/>
                <w:szCs w:val="26"/>
                <w:rtl/>
              </w:rPr>
              <w:t>הצעת</w:t>
            </w:r>
            <w:r>
              <w:rPr>
                <w:rFonts w:cs="David"/>
                <w:sz w:val="26"/>
                <w:szCs w:val="26"/>
              </w:rPr>
              <w:t xml:space="preserve"> </w:t>
            </w:r>
            <w:r>
              <w:rPr>
                <w:rFonts w:cs="David"/>
                <w:sz w:val="26"/>
                <w:szCs w:val="26"/>
                <w:rtl/>
              </w:rPr>
              <w:t xml:space="preserve">חוק של חבר הכנסת </w:t>
            </w:r>
            <w:r>
              <w:rPr>
                <w:rFonts w:cs="David"/>
                <w:b/>
                <w:bCs/>
                <w:sz w:val="26"/>
                <w:szCs w:val="26"/>
                <w:rtl/>
              </w:rPr>
              <w:t>דני נוה</w:t>
            </w:r>
          </w:p>
        </w:tc>
      </w:tr>
    </w:tbl>
    <w:p w:rsidR="00000000" w:rsidRDefault="00F04C94">
      <w:pPr>
        <w:spacing w:line="360" w:lineRule="auto"/>
        <w:jc w:val="center"/>
        <w:rPr>
          <w:rFonts w:cs="David"/>
          <w:b/>
          <w:bCs/>
          <w:sz w:val="26"/>
          <w:szCs w:val="26"/>
          <w:rtl/>
        </w:rPr>
      </w:pPr>
      <w:r>
        <w:rPr>
          <w:rFonts w:cs="David"/>
          <w:sz w:val="26"/>
          <w:szCs w:val="26"/>
          <w:rtl/>
        </w:rPr>
        <w:tab/>
      </w:r>
      <w:r>
        <w:rPr>
          <w:rFonts w:cs="David"/>
          <w:sz w:val="26"/>
          <w:szCs w:val="26"/>
          <w:rtl/>
        </w:rPr>
        <w:tab/>
      </w:r>
      <w:r>
        <w:rPr>
          <w:rFonts w:cs="David"/>
          <w:sz w:val="26"/>
          <w:szCs w:val="26"/>
          <w:rtl/>
        </w:rPr>
        <w:tab/>
      </w:r>
      <w:r>
        <w:rPr>
          <w:rFonts w:cs="David"/>
          <w:sz w:val="26"/>
          <w:szCs w:val="26"/>
          <w:rtl/>
        </w:rPr>
        <w:tab/>
        <w:t xml:space="preserve">                                                        </w:t>
      </w:r>
      <w:r>
        <w:rPr>
          <w:rFonts w:cs="David"/>
          <w:b/>
          <w:bCs/>
          <w:sz w:val="26"/>
          <w:szCs w:val="26"/>
          <w:rtl/>
        </w:rPr>
        <w:t>פ/1628/17</w:t>
      </w:r>
    </w:p>
    <w:p w:rsidR="00000000" w:rsidRDefault="00F04C94">
      <w:pPr>
        <w:spacing w:line="360" w:lineRule="auto"/>
        <w:jc w:val="center"/>
        <w:rPr>
          <w:rFonts w:cs="David"/>
          <w:sz w:val="32"/>
          <w:szCs w:val="32"/>
          <w:rtl/>
        </w:rPr>
      </w:pPr>
      <w:r>
        <w:rPr>
          <w:rFonts w:cs="David"/>
          <w:sz w:val="26"/>
          <w:szCs w:val="26"/>
          <w:rtl/>
        </w:rPr>
        <w:tab/>
      </w:r>
    </w:p>
    <w:p w:rsidR="00000000" w:rsidRDefault="00F04C94">
      <w:pPr>
        <w:spacing w:line="360" w:lineRule="auto"/>
        <w:jc w:val="center"/>
        <w:rPr>
          <w:rFonts w:cs="David"/>
          <w:b/>
          <w:bCs/>
          <w:sz w:val="28"/>
          <w:szCs w:val="28"/>
          <w:rtl/>
        </w:rPr>
      </w:pPr>
      <w:r>
        <w:rPr>
          <w:rFonts w:cs="David"/>
          <w:b/>
          <w:bCs/>
          <w:sz w:val="28"/>
          <w:szCs w:val="28"/>
          <w:rtl/>
        </w:rPr>
        <w:t>הצעת חוק-יסוד: הממשלה (תיקון – השרי</w:t>
      </w:r>
      <w:r>
        <w:rPr>
          <w:rFonts w:cs="David"/>
          <w:b/>
          <w:bCs/>
          <w:sz w:val="28"/>
          <w:szCs w:val="28"/>
          <w:rtl/>
        </w:rPr>
        <w:t>ם, הרכבת ממשלה והבעת אי אמון)</w:t>
      </w:r>
    </w:p>
    <w:p w:rsidR="00000000" w:rsidRDefault="00F04C94">
      <w:pPr>
        <w:spacing w:line="360" w:lineRule="auto"/>
        <w:rPr>
          <w:rFonts w:cs="David"/>
          <w:sz w:val="26"/>
          <w:szCs w:val="26"/>
          <w:rtl/>
        </w:rPr>
      </w:pPr>
    </w:p>
    <w:tbl>
      <w:tblPr>
        <w:bidiVisual/>
        <w:tblW w:w="0" w:type="auto"/>
        <w:tblCellMar>
          <w:left w:w="57" w:type="dxa"/>
          <w:right w:w="57" w:type="dxa"/>
        </w:tblCellMar>
        <w:tblLook w:val="0000" w:firstRow="0" w:lastRow="0" w:firstColumn="0" w:lastColumn="0" w:noHBand="0" w:noVBand="0"/>
      </w:tblPr>
      <w:tblGrid>
        <w:gridCol w:w="1162"/>
        <w:gridCol w:w="552"/>
        <w:gridCol w:w="567"/>
        <w:gridCol w:w="6139"/>
      </w:tblGrid>
      <w:tr w:rsidR="00000000">
        <w:tc>
          <w:tcPr>
            <w:tcW w:w="1162" w:type="dxa"/>
            <w:tcBorders>
              <w:top w:val="nil"/>
              <w:left w:val="nil"/>
              <w:bottom w:val="nil"/>
              <w:right w:val="nil"/>
            </w:tcBorders>
          </w:tcPr>
          <w:p w:rsidR="00000000" w:rsidRDefault="00F04C94">
            <w:pPr>
              <w:spacing w:after="120"/>
              <w:rPr>
                <w:rFonts w:cs="David"/>
                <w:sz w:val="26"/>
                <w:szCs w:val="26"/>
              </w:rPr>
            </w:pPr>
            <w:r>
              <w:rPr>
                <w:rFonts w:cs="David"/>
                <w:sz w:val="26"/>
                <w:szCs w:val="26"/>
                <w:rtl/>
              </w:rPr>
              <w:t>תיקון סעיף 5</w:t>
            </w:r>
          </w:p>
        </w:tc>
        <w:tc>
          <w:tcPr>
            <w:tcW w:w="552" w:type="dxa"/>
            <w:tcBorders>
              <w:top w:val="nil"/>
              <w:left w:val="nil"/>
              <w:bottom w:val="nil"/>
              <w:right w:val="nil"/>
            </w:tcBorders>
          </w:tcPr>
          <w:p w:rsidR="00000000" w:rsidRDefault="00F04C94">
            <w:pPr>
              <w:spacing w:after="120" w:line="360" w:lineRule="auto"/>
              <w:rPr>
                <w:rFonts w:cs="David"/>
                <w:sz w:val="26"/>
                <w:szCs w:val="26"/>
              </w:rPr>
            </w:pPr>
            <w:r>
              <w:rPr>
                <w:rFonts w:cs="David"/>
                <w:sz w:val="26"/>
                <w:szCs w:val="26"/>
                <w:rtl/>
              </w:rPr>
              <w:t>1.</w:t>
            </w:r>
          </w:p>
        </w:tc>
        <w:tc>
          <w:tcPr>
            <w:tcW w:w="6706" w:type="dxa"/>
            <w:gridSpan w:val="2"/>
            <w:tcBorders>
              <w:top w:val="nil"/>
              <w:left w:val="nil"/>
              <w:bottom w:val="nil"/>
              <w:right w:val="nil"/>
            </w:tcBorders>
          </w:tcPr>
          <w:p w:rsidR="00000000" w:rsidRDefault="00F04C94">
            <w:pPr>
              <w:spacing w:after="120" w:line="360" w:lineRule="auto"/>
              <w:jc w:val="both"/>
              <w:rPr>
                <w:rFonts w:cs="David"/>
                <w:sz w:val="26"/>
                <w:szCs w:val="26"/>
                <w:rtl/>
              </w:rPr>
            </w:pPr>
            <w:r>
              <w:rPr>
                <w:rFonts w:cs="David"/>
                <w:sz w:val="26"/>
                <w:szCs w:val="26"/>
                <w:rtl/>
              </w:rPr>
              <w:t>בחוק-יסוד: הממשלה</w:t>
            </w:r>
            <w:r>
              <w:rPr>
                <w:rFonts w:cs="David"/>
                <w:sz w:val="26"/>
                <w:szCs w:val="26"/>
                <w:vertAlign w:val="superscript"/>
                <w:rtl/>
              </w:rPr>
              <w:footnoteReference w:id="1"/>
            </w:r>
            <w:r>
              <w:rPr>
                <w:rFonts w:cs="David"/>
                <w:sz w:val="26"/>
                <w:szCs w:val="26"/>
                <w:rtl/>
              </w:rPr>
              <w:t xml:space="preserve"> (להלן – חוק היסוד), בסעיף 5(ב), בסופו יבוא "שרי הבטחון, החוץ והאוצר לא יהיו מבין חברי הכנסת וחבר הכנסת שימונה לאחד מתפקידים אלו, יתפטר מחברותו בכנסת מייד לאחר השבעתו".</w:t>
            </w:r>
          </w:p>
          <w:p w:rsidR="00000000" w:rsidRDefault="00F04C94">
            <w:pPr>
              <w:spacing w:after="120" w:line="360" w:lineRule="auto"/>
              <w:jc w:val="both"/>
              <w:rPr>
                <w:rFonts w:cs="David"/>
                <w:sz w:val="26"/>
                <w:szCs w:val="26"/>
              </w:rPr>
            </w:pPr>
          </w:p>
        </w:tc>
      </w:tr>
      <w:tr w:rsidR="00000000">
        <w:tc>
          <w:tcPr>
            <w:tcW w:w="1162" w:type="dxa"/>
            <w:tcBorders>
              <w:top w:val="nil"/>
              <w:left w:val="nil"/>
              <w:bottom w:val="nil"/>
              <w:right w:val="nil"/>
            </w:tcBorders>
          </w:tcPr>
          <w:p w:rsidR="00000000" w:rsidRDefault="00F04C94">
            <w:pPr>
              <w:spacing w:after="120"/>
              <w:rPr>
                <w:rFonts w:cs="David"/>
                <w:sz w:val="26"/>
                <w:szCs w:val="26"/>
                <w:rtl/>
              </w:rPr>
            </w:pPr>
            <w:r>
              <w:rPr>
                <w:rFonts w:cs="David"/>
                <w:sz w:val="26"/>
                <w:szCs w:val="26"/>
                <w:rtl/>
              </w:rPr>
              <w:t>תיקון סעיף 7</w:t>
            </w:r>
          </w:p>
        </w:tc>
        <w:tc>
          <w:tcPr>
            <w:tcW w:w="552" w:type="dxa"/>
            <w:tcBorders>
              <w:top w:val="nil"/>
              <w:left w:val="nil"/>
              <w:bottom w:val="nil"/>
              <w:right w:val="nil"/>
            </w:tcBorders>
          </w:tcPr>
          <w:p w:rsidR="00000000" w:rsidRDefault="00F04C94">
            <w:pPr>
              <w:spacing w:after="120" w:line="360" w:lineRule="auto"/>
              <w:rPr>
                <w:rFonts w:cs="David"/>
                <w:sz w:val="26"/>
                <w:szCs w:val="26"/>
                <w:rtl/>
              </w:rPr>
            </w:pPr>
            <w:r>
              <w:rPr>
                <w:rFonts w:cs="David"/>
                <w:sz w:val="26"/>
                <w:szCs w:val="26"/>
                <w:rtl/>
              </w:rPr>
              <w:t>2.</w:t>
            </w:r>
          </w:p>
        </w:tc>
        <w:tc>
          <w:tcPr>
            <w:tcW w:w="6706" w:type="dxa"/>
            <w:gridSpan w:val="2"/>
            <w:tcBorders>
              <w:top w:val="nil"/>
              <w:left w:val="nil"/>
              <w:bottom w:val="nil"/>
              <w:right w:val="nil"/>
            </w:tcBorders>
          </w:tcPr>
          <w:p w:rsidR="00000000" w:rsidRDefault="00F04C94">
            <w:pPr>
              <w:spacing w:after="120" w:line="360" w:lineRule="auto"/>
              <w:jc w:val="both"/>
              <w:rPr>
                <w:rFonts w:cs="David"/>
                <w:sz w:val="26"/>
                <w:szCs w:val="26"/>
                <w:rtl/>
              </w:rPr>
            </w:pPr>
            <w:r>
              <w:rPr>
                <w:rFonts w:cs="David"/>
                <w:sz w:val="26"/>
                <w:szCs w:val="26"/>
                <w:rtl/>
              </w:rPr>
              <w:t xml:space="preserve">בסעיף 7 לחוק היסוד - </w:t>
            </w:r>
          </w:p>
        </w:tc>
      </w:tr>
      <w:tr w:rsidR="00000000">
        <w:tc>
          <w:tcPr>
            <w:tcW w:w="1162" w:type="dxa"/>
            <w:tcBorders>
              <w:top w:val="nil"/>
              <w:left w:val="nil"/>
              <w:bottom w:val="nil"/>
              <w:right w:val="nil"/>
            </w:tcBorders>
          </w:tcPr>
          <w:p w:rsidR="00000000" w:rsidRDefault="00F04C94">
            <w:pPr>
              <w:spacing w:after="120"/>
              <w:rPr>
                <w:rFonts w:cs="David"/>
                <w:sz w:val="26"/>
                <w:szCs w:val="26"/>
                <w:rtl/>
              </w:rPr>
            </w:pPr>
          </w:p>
        </w:tc>
        <w:tc>
          <w:tcPr>
            <w:tcW w:w="552" w:type="dxa"/>
            <w:tcBorders>
              <w:top w:val="nil"/>
              <w:left w:val="nil"/>
              <w:bottom w:val="nil"/>
              <w:right w:val="nil"/>
            </w:tcBorders>
          </w:tcPr>
          <w:p w:rsidR="00000000" w:rsidRDefault="00F04C94">
            <w:pPr>
              <w:spacing w:after="120" w:line="360" w:lineRule="auto"/>
              <w:rPr>
                <w:rFonts w:cs="David"/>
                <w:sz w:val="26"/>
                <w:szCs w:val="26"/>
                <w:rtl/>
              </w:rPr>
            </w:pPr>
          </w:p>
        </w:tc>
        <w:tc>
          <w:tcPr>
            <w:tcW w:w="567" w:type="dxa"/>
            <w:tcBorders>
              <w:top w:val="nil"/>
              <w:left w:val="nil"/>
              <w:bottom w:val="nil"/>
              <w:right w:val="nil"/>
            </w:tcBorders>
          </w:tcPr>
          <w:p w:rsidR="00000000" w:rsidRDefault="00F04C94">
            <w:pPr>
              <w:spacing w:after="120" w:line="360" w:lineRule="auto"/>
              <w:rPr>
                <w:rFonts w:cs="David"/>
                <w:sz w:val="26"/>
                <w:szCs w:val="26"/>
                <w:rtl/>
              </w:rPr>
            </w:pPr>
            <w:r>
              <w:rPr>
                <w:rFonts w:cs="David"/>
                <w:sz w:val="26"/>
                <w:szCs w:val="26"/>
                <w:rtl/>
              </w:rPr>
              <w:t>(א)</w:t>
            </w:r>
          </w:p>
        </w:tc>
        <w:tc>
          <w:tcPr>
            <w:tcW w:w="6139" w:type="dxa"/>
            <w:tcBorders>
              <w:top w:val="nil"/>
              <w:left w:val="nil"/>
              <w:bottom w:val="nil"/>
              <w:right w:val="nil"/>
            </w:tcBorders>
          </w:tcPr>
          <w:p w:rsidR="00000000" w:rsidRDefault="00F04C94">
            <w:pPr>
              <w:spacing w:after="120" w:line="360" w:lineRule="auto"/>
              <w:jc w:val="both"/>
              <w:rPr>
                <w:rFonts w:cs="David"/>
                <w:sz w:val="26"/>
                <w:szCs w:val="26"/>
                <w:rtl/>
              </w:rPr>
            </w:pPr>
            <w:r>
              <w:rPr>
                <w:rFonts w:cs="David"/>
                <w:sz w:val="26"/>
                <w:szCs w:val="26"/>
                <w:rtl/>
              </w:rPr>
              <w:t>בפסקה (א), במקום הרישה המסתיימת במילים "שהסכים לכך", יבוא "משיש לכונן ממשלה חדשה יטיל נשיא המדינה את התפקיד להרכיב ממשלה על חבר הכנסת העומד בראש הסיעה הגדולה ביותר שנבחרה בבחירות; לא היתה סיעה כאמור, יטיל הנש</w:t>
            </w:r>
            <w:r>
              <w:rPr>
                <w:rFonts w:cs="David"/>
                <w:sz w:val="26"/>
                <w:szCs w:val="26"/>
                <w:rtl/>
              </w:rPr>
              <w:t xml:space="preserve">יא את הרכבת הממשלה על חבר הכנסת העומד בראש הסיעה שזכתה למספר הקולות הגדול ביותר בבחירות;" </w:t>
            </w:r>
          </w:p>
        </w:tc>
      </w:tr>
      <w:tr w:rsidR="00000000">
        <w:tc>
          <w:tcPr>
            <w:tcW w:w="1162" w:type="dxa"/>
            <w:tcBorders>
              <w:top w:val="nil"/>
              <w:left w:val="nil"/>
              <w:bottom w:val="nil"/>
              <w:right w:val="nil"/>
            </w:tcBorders>
          </w:tcPr>
          <w:p w:rsidR="00000000" w:rsidRDefault="00F04C94">
            <w:pPr>
              <w:spacing w:after="120"/>
              <w:rPr>
                <w:rFonts w:cs="David"/>
                <w:sz w:val="26"/>
                <w:szCs w:val="26"/>
                <w:rtl/>
              </w:rPr>
            </w:pPr>
          </w:p>
        </w:tc>
        <w:tc>
          <w:tcPr>
            <w:tcW w:w="552" w:type="dxa"/>
            <w:tcBorders>
              <w:top w:val="nil"/>
              <w:left w:val="nil"/>
              <w:bottom w:val="nil"/>
              <w:right w:val="nil"/>
            </w:tcBorders>
          </w:tcPr>
          <w:p w:rsidR="00000000" w:rsidRDefault="00F04C94">
            <w:pPr>
              <w:spacing w:after="120" w:line="360" w:lineRule="auto"/>
              <w:rPr>
                <w:rFonts w:cs="David"/>
                <w:sz w:val="26"/>
                <w:szCs w:val="26"/>
                <w:rtl/>
              </w:rPr>
            </w:pPr>
          </w:p>
        </w:tc>
        <w:tc>
          <w:tcPr>
            <w:tcW w:w="567" w:type="dxa"/>
            <w:tcBorders>
              <w:top w:val="nil"/>
              <w:left w:val="nil"/>
              <w:bottom w:val="nil"/>
              <w:right w:val="nil"/>
            </w:tcBorders>
          </w:tcPr>
          <w:p w:rsidR="00000000" w:rsidRDefault="00F04C94">
            <w:pPr>
              <w:spacing w:after="120" w:line="360" w:lineRule="auto"/>
              <w:rPr>
                <w:rFonts w:cs="David"/>
                <w:sz w:val="26"/>
                <w:szCs w:val="26"/>
                <w:rtl/>
              </w:rPr>
            </w:pPr>
            <w:r>
              <w:rPr>
                <w:rFonts w:cs="David"/>
                <w:sz w:val="26"/>
                <w:szCs w:val="26"/>
                <w:rtl/>
              </w:rPr>
              <w:t>(ב)</w:t>
            </w:r>
          </w:p>
        </w:tc>
        <w:tc>
          <w:tcPr>
            <w:tcW w:w="6139" w:type="dxa"/>
            <w:tcBorders>
              <w:top w:val="nil"/>
              <w:left w:val="nil"/>
              <w:bottom w:val="nil"/>
              <w:right w:val="nil"/>
            </w:tcBorders>
          </w:tcPr>
          <w:p w:rsidR="00000000" w:rsidRDefault="00F04C94">
            <w:pPr>
              <w:spacing w:after="120" w:line="360" w:lineRule="auto"/>
              <w:jc w:val="both"/>
              <w:rPr>
                <w:rFonts w:cs="David"/>
                <w:sz w:val="26"/>
                <w:szCs w:val="26"/>
                <w:rtl/>
              </w:rPr>
            </w:pPr>
            <w:r>
              <w:rPr>
                <w:rFonts w:cs="David"/>
                <w:sz w:val="26"/>
                <w:szCs w:val="26"/>
                <w:rtl/>
              </w:rPr>
              <w:t>פסקה (ב) – תימחק.</w:t>
            </w:r>
          </w:p>
          <w:p w:rsidR="00000000" w:rsidRDefault="00F04C94">
            <w:pPr>
              <w:spacing w:after="120" w:line="360" w:lineRule="auto"/>
              <w:jc w:val="both"/>
              <w:rPr>
                <w:rFonts w:cs="David"/>
                <w:sz w:val="26"/>
                <w:szCs w:val="26"/>
                <w:rtl/>
              </w:rPr>
            </w:pPr>
          </w:p>
        </w:tc>
      </w:tr>
      <w:tr w:rsidR="00000000">
        <w:tc>
          <w:tcPr>
            <w:tcW w:w="1162" w:type="dxa"/>
            <w:tcBorders>
              <w:top w:val="nil"/>
              <w:left w:val="nil"/>
              <w:bottom w:val="nil"/>
              <w:right w:val="nil"/>
            </w:tcBorders>
          </w:tcPr>
          <w:p w:rsidR="00000000" w:rsidRDefault="00F04C94">
            <w:pPr>
              <w:spacing w:after="120"/>
              <w:rPr>
                <w:rFonts w:cs="David"/>
                <w:sz w:val="26"/>
                <w:szCs w:val="26"/>
                <w:rtl/>
              </w:rPr>
            </w:pPr>
            <w:r>
              <w:rPr>
                <w:rFonts w:cs="David"/>
                <w:sz w:val="26"/>
                <w:szCs w:val="26"/>
                <w:rtl/>
              </w:rPr>
              <w:t>ביטול סעיף 9</w:t>
            </w:r>
          </w:p>
          <w:p w:rsidR="00000000" w:rsidRDefault="00F04C94">
            <w:pPr>
              <w:spacing w:after="120"/>
              <w:rPr>
                <w:rFonts w:cs="David"/>
                <w:sz w:val="26"/>
                <w:szCs w:val="26"/>
                <w:rtl/>
              </w:rPr>
            </w:pPr>
          </w:p>
        </w:tc>
        <w:tc>
          <w:tcPr>
            <w:tcW w:w="552" w:type="dxa"/>
            <w:tcBorders>
              <w:top w:val="nil"/>
              <w:left w:val="nil"/>
              <w:bottom w:val="nil"/>
              <w:right w:val="nil"/>
            </w:tcBorders>
          </w:tcPr>
          <w:p w:rsidR="00000000" w:rsidRDefault="00F04C94">
            <w:pPr>
              <w:spacing w:after="120" w:line="360" w:lineRule="auto"/>
              <w:rPr>
                <w:rFonts w:cs="David"/>
                <w:sz w:val="26"/>
                <w:szCs w:val="26"/>
                <w:rtl/>
              </w:rPr>
            </w:pPr>
            <w:r>
              <w:rPr>
                <w:rFonts w:cs="David"/>
                <w:sz w:val="26"/>
                <w:szCs w:val="26"/>
                <w:rtl/>
              </w:rPr>
              <w:t>3.</w:t>
            </w:r>
          </w:p>
        </w:tc>
        <w:tc>
          <w:tcPr>
            <w:tcW w:w="6706" w:type="dxa"/>
            <w:gridSpan w:val="2"/>
            <w:tcBorders>
              <w:top w:val="nil"/>
              <w:left w:val="nil"/>
              <w:bottom w:val="nil"/>
              <w:right w:val="nil"/>
            </w:tcBorders>
          </w:tcPr>
          <w:p w:rsidR="00000000" w:rsidRDefault="00F04C94">
            <w:pPr>
              <w:spacing w:after="120" w:line="360" w:lineRule="auto"/>
              <w:jc w:val="both"/>
              <w:rPr>
                <w:rFonts w:cs="David"/>
                <w:sz w:val="26"/>
                <w:szCs w:val="26"/>
                <w:rtl/>
              </w:rPr>
            </w:pPr>
            <w:r>
              <w:rPr>
                <w:rFonts w:cs="David"/>
                <w:sz w:val="26"/>
                <w:szCs w:val="26"/>
                <w:rtl/>
              </w:rPr>
              <w:t>סעיף 9 לחוק היסוד – בטל.</w:t>
            </w:r>
          </w:p>
        </w:tc>
      </w:tr>
      <w:tr w:rsidR="00000000">
        <w:tc>
          <w:tcPr>
            <w:tcW w:w="1162" w:type="dxa"/>
            <w:tcBorders>
              <w:top w:val="nil"/>
              <w:left w:val="nil"/>
              <w:bottom w:val="nil"/>
              <w:right w:val="nil"/>
            </w:tcBorders>
          </w:tcPr>
          <w:p w:rsidR="00000000" w:rsidRDefault="00F04C94">
            <w:pPr>
              <w:spacing w:after="120"/>
              <w:rPr>
                <w:rFonts w:cs="David"/>
                <w:sz w:val="26"/>
                <w:szCs w:val="26"/>
                <w:rtl/>
              </w:rPr>
            </w:pPr>
            <w:r>
              <w:rPr>
                <w:rFonts w:cs="David"/>
                <w:sz w:val="26"/>
                <w:szCs w:val="26"/>
                <w:rtl/>
              </w:rPr>
              <w:t>תיקון סעיף 10</w:t>
            </w:r>
          </w:p>
        </w:tc>
        <w:tc>
          <w:tcPr>
            <w:tcW w:w="552" w:type="dxa"/>
            <w:tcBorders>
              <w:top w:val="nil"/>
              <w:left w:val="nil"/>
              <w:bottom w:val="nil"/>
              <w:right w:val="nil"/>
            </w:tcBorders>
          </w:tcPr>
          <w:p w:rsidR="00000000" w:rsidRDefault="00F04C94">
            <w:pPr>
              <w:spacing w:after="120" w:line="360" w:lineRule="auto"/>
              <w:rPr>
                <w:rFonts w:cs="David"/>
                <w:sz w:val="26"/>
                <w:szCs w:val="26"/>
                <w:rtl/>
              </w:rPr>
            </w:pPr>
            <w:r>
              <w:rPr>
                <w:rFonts w:cs="David"/>
                <w:sz w:val="26"/>
                <w:szCs w:val="26"/>
                <w:rtl/>
              </w:rPr>
              <w:t>4.</w:t>
            </w:r>
          </w:p>
        </w:tc>
        <w:tc>
          <w:tcPr>
            <w:tcW w:w="6706" w:type="dxa"/>
            <w:gridSpan w:val="2"/>
            <w:tcBorders>
              <w:top w:val="nil"/>
              <w:left w:val="nil"/>
              <w:bottom w:val="nil"/>
              <w:right w:val="nil"/>
            </w:tcBorders>
          </w:tcPr>
          <w:p w:rsidR="00000000" w:rsidRDefault="00F04C94">
            <w:pPr>
              <w:spacing w:after="120" w:line="360" w:lineRule="auto"/>
              <w:jc w:val="both"/>
              <w:rPr>
                <w:rFonts w:cs="David"/>
                <w:sz w:val="26"/>
                <w:szCs w:val="26"/>
                <w:rtl/>
              </w:rPr>
            </w:pPr>
            <w:r>
              <w:rPr>
                <w:rFonts w:cs="David"/>
                <w:sz w:val="26"/>
                <w:szCs w:val="26"/>
                <w:rtl/>
              </w:rPr>
              <w:t xml:space="preserve">בסעיף 10 לחוק-היסוד, במקום האמור בפסקה (א), יבוא - </w:t>
            </w:r>
          </w:p>
        </w:tc>
      </w:tr>
      <w:tr w:rsidR="00000000">
        <w:trPr>
          <w:trHeight w:val="899"/>
        </w:trPr>
        <w:tc>
          <w:tcPr>
            <w:tcW w:w="1162" w:type="dxa"/>
            <w:tcBorders>
              <w:top w:val="nil"/>
              <w:left w:val="nil"/>
              <w:bottom w:val="nil"/>
              <w:right w:val="nil"/>
            </w:tcBorders>
          </w:tcPr>
          <w:p w:rsidR="00000000" w:rsidRDefault="00F04C94">
            <w:pPr>
              <w:spacing w:after="120"/>
              <w:rPr>
                <w:rFonts w:cs="David"/>
                <w:sz w:val="26"/>
                <w:szCs w:val="26"/>
                <w:rtl/>
              </w:rPr>
            </w:pPr>
          </w:p>
        </w:tc>
        <w:tc>
          <w:tcPr>
            <w:tcW w:w="552" w:type="dxa"/>
            <w:tcBorders>
              <w:top w:val="nil"/>
              <w:left w:val="nil"/>
              <w:bottom w:val="nil"/>
              <w:right w:val="nil"/>
            </w:tcBorders>
          </w:tcPr>
          <w:p w:rsidR="00000000" w:rsidRDefault="00F04C94">
            <w:pPr>
              <w:spacing w:after="120" w:line="360" w:lineRule="auto"/>
              <w:rPr>
                <w:rFonts w:cs="David"/>
                <w:sz w:val="26"/>
                <w:szCs w:val="26"/>
                <w:rtl/>
              </w:rPr>
            </w:pPr>
          </w:p>
        </w:tc>
        <w:tc>
          <w:tcPr>
            <w:tcW w:w="567" w:type="dxa"/>
            <w:tcBorders>
              <w:top w:val="nil"/>
              <w:left w:val="nil"/>
              <w:bottom w:val="nil"/>
              <w:right w:val="nil"/>
            </w:tcBorders>
          </w:tcPr>
          <w:p w:rsidR="00000000" w:rsidRDefault="00F04C94">
            <w:pPr>
              <w:spacing w:after="120" w:line="360" w:lineRule="auto"/>
              <w:rPr>
                <w:rFonts w:cs="David"/>
                <w:sz w:val="26"/>
                <w:szCs w:val="26"/>
                <w:rtl/>
              </w:rPr>
            </w:pPr>
            <w:r>
              <w:rPr>
                <w:rFonts w:cs="David"/>
                <w:sz w:val="26"/>
                <w:szCs w:val="26"/>
                <w:rtl/>
              </w:rPr>
              <w:t>"(א)</w:t>
            </w:r>
          </w:p>
        </w:tc>
        <w:tc>
          <w:tcPr>
            <w:tcW w:w="6139" w:type="dxa"/>
            <w:tcBorders>
              <w:top w:val="nil"/>
              <w:left w:val="nil"/>
              <w:bottom w:val="nil"/>
              <w:right w:val="nil"/>
            </w:tcBorders>
          </w:tcPr>
          <w:p w:rsidR="00000000" w:rsidRDefault="00F04C94">
            <w:pPr>
              <w:spacing w:after="120" w:line="360" w:lineRule="auto"/>
              <w:jc w:val="both"/>
              <w:rPr>
                <w:rFonts w:cs="David"/>
                <w:sz w:val="26"/>
                <w:szCs w:val="26"/>
                <w:rtl/>
              </w:rPr>
            </w:pPr>
            <w:r>
              <w:rPr>
                <w:rFonts w:cs="David"/>
                <w:sz w:val="26"/>
                <w:szCs w:val="26"/>
                <w:rtl/>
              </w:rPr>
              <w:t>עברה התקופה לפי סע</w:t>
            </w:r>
            <w:r>
              <w:rPr>
                <w:rFonts w:cs="David"/>
                <w:sz w:val="26"/>
                <w:szCs w:val="26"/>
                <w:rtl/>
              </w:rPr>
              <w:t>יף 8 וחבר הכנסת לא הודיע לנשיא המדינה שהרכיב ממשלה, או שהודיע לו לפני כן שאין בידו להרכיב ממשלה, או שהציג ממשלה והכנסת דחתה את הבקשה להביע בה אמון לפי סעיף 13(ד), רשאים רוב חברי הכנסת לבקש מנשיא המדינה, בכתב, להטיל את התפקיד על חבר כנסת פלוני, שהסכים לכך ב</w:t>
            </w:r>
            <w:r>
              <w:rPr>
                <w:rFonts w:cs="David"/>
                <w:sz w:val="26"/>
                <w:szCs w:val="26"/>
                <w:rtl/>
              </w:rPr>
              <w:t xml:space="preserve">כתב, והכל בתוך 21 ימים מתום התקופה לפי סעיף 8, או </w:t>
            </w:r>
            <w:r>
              <w:rPr>
                <w:rFonts w:cs="David"/>
                <w:sz w:val="26"/>
                <w:szCs w:val="26"/>
                <w:rtl/>
              </w:rPr>
              <w:lastRenderedPageBreak/>
              <w:t>מיום הודעתו של חבר הכנסת שאין בידו להרכיב ממשלה, או מיום דחיית הבקשה להביע אמון בממשלה, לפי העניין."</w:t>
            </w:r>
          </w:p>
          <w:p w:rsidR="00000000" w:rsidRDefault="00F04C94">
            <w:pPr>
              <w:spacing w:after="120" w:line="360" w:lineRule="auto"/>
              <w:jc w:val="both"/>
              <w:rPr>
                <w:rFonts w:cs="David"/>
                <w:sz w:val="26"/>
                <w:szCs w:val="26"/>
                <w:rtl/>
              </w:rPr>
            </w:pPr>
          </w:p>
        </w:tc>
      </w:tr>
      <w:tr w:rsidR="00000000">
        <w:tc>
          <w:tcPr>
            <w:tcW w:w="1162" w:type="dxa"/>
            <w:tcBorders>
              <w:top w:val="nil"/>
              <w:left w:val="nil"/>
              <w:bottom w:val="nil"/>
              <w:right w:val="nil"/>
            </w:tcBorders>
          </w:tcPr>
          <w:p w:rsidR="00000000" w:rsidRDefault="00F04C94">
            <w:pPr>
              <w:spacing w:after="120"/>
              <w:rPr>
                <w:rFonts w:cs="David"/>
                <w:sz w:val="26"/>
                <w:szCs w:val="26"/>
                <w:rtl/>
              </w:rPr>
            </w:pPr>
            <w:r>
              <w:rPr>
                <w:rFonts w:cs="David"/>
                <w:sz w:val="26"/>
                <w:szCs w:val="26"/>
                <w:rtl/>
              </w:rPr>
              <w:lastRenderedPageBreak/>
              <w:t>תיקון סעיף 28</w:t>
            </w:r>
          </w:p>
        </w:tc>
        <w:tc>
          <w:tcPr>
            <w:tcW w:w="552" w:type="dxa"/>
            <w:tcBorders>
              <w:top w:val="nil"/>
              <w:left w:val="nil"/>
              <w:bottom w:val="nil"/>
              <w:right w:val="nil"/>
            </w:tcBorders>
          </w:tcPr>
          <w:p w:rsidR="00000000" w:rsidRDefault="00F04C94">
            <w:pPr>
              <w:spacing w:after="120" w:line="360" w:lineRule="auto"/>
              <w:rPr>
                <w:rFonts w:cs="David"/>
                <w:sz w:val="26"/>
                <w:szCs w:val="26"/>
                <w:rtl/>
              </w:rPr>
            </w:pPr>
            <w:r>
              <w:rPr>
                <w:rFonts w:cs="David"/>
                <w:sz w:val="26"/>
                <w:szCs w:val="26"/>
                <w:rtl/>
              </w:rPr>
              <w:t>5.</w:t>
            </w:r>
          </w:p>
        </w:tc>
        <w:tc>
          <w:tcPr>
            <w:tcW w:w="6706" w:type="dxa"/>
            <w:gridSpan w:val="2"/>
            <w:tcBorders>
              <w:top w:val="nil"/>
              <w:left w:val="nil"/>
              <w:bottom w:val="nil"/>
              <w:right w:val="nil"/>
            </w:tcBorders>
          </w:tcPr>
          <w:p w:rsidR="00000000" w:rsidRDefault="00F04C94">
            <w:pPr>
              <w:spacing w:after="120" w:line="360" w:lineRule="auto"/>
              <w:jc w:val="both"/>
              <w:rPr>
                <w:rFonts w:cs="David"/>
                <w:sz w:val="26"/>
                <w:szCs w:val="26"/>
                <w:rtl/>
              </w:rPr>
            </w:pPr>
            <w:r>
              <w:rPr>
                <w:rFonts w:cs="David"/>
                <w:sz w:val="26"/>
                <w:szCs w:val="26"/>
                <w:rtl/>
              </w:rPr>
              <w:t>בסעיף 28 לחוק היסוד, במקום "ברוב חבריה" יבוא "ברוב של לפחות שבעים מחבריה" ובסופו יבוא</w:t>
            </w:r>
            <w:r>
              <w:rPr>
                <w:rFonts w:cs="David"/>
                <w:sz w:val="26"/>
                <w:szCs w:val="26"/>
                <w:rtl/>
              </w:rPr>
              <w:t xml:space="preserve"> "אין לשנות סעיף קטן זה אלא בחוק-יסוד ברוב של שבעים חברי הכנסת; הרוב הדרוש לצורך שינוי סעיף קטן זה יהא דרוש להחלטות מליאת הכנסת בקריאה הראשונה, בקריאה השניה ובקריאה השלישית."</w:t>
            </w:r>
          </w:p>
          <w:p w:rsidR="00000000" w:rsidRDefault="00F04C94">
            <w:pPr>
              <w:spacing w:after="120" w:line="360" w:lineRule="auto"/>
              <w:jc w:val="both"/>
              <w:rPr>
                <w:rFonts w:cs="David"/>
                <w:sz w:val="26"/>
                <w:szCs w:val="26"/>
                <w:rtl/>
              </w:rPr>
            </w:pPr>
          </w:p>
        </w:tc>
      </w:tr>
    </w:tbl>
    <w:p w:rsidR="00000000" w:rsidRDefault="00F04C94">
      <w:pPr>
        <w:spacing w:line="360" w:lineRule="auto"/>
        <w:rPr>
          <w:rFonts w:cs="David"/>
          <w:sz w:val="26"/>
          <w:szCs w:val="26"/>
          <w:rtl/>
        </w:rPr>
      </w:pPr>
    </w:p>
    <w:p w:rsidR="00000000" w:rsidRDefault="00F04C94">
      <w:pPr>
        <w:pStyle w:val="3"/>
        <w:spacing w:line="360" w:lineRule="auto"/>
        <w:rPr>
          <w:rFonts w:cs="David"/>
          <w:sz w:val="28"/>
          <w:szCs w:val="28"/>
          <w:rtl/>
        </w:rPr>
      </w:pPr>
    </w:p>
    <w:p w:rsidR="00000000" w:rsidRDefault="00F04C94">
      <w:pPr>
        <w:pStyle w:val="3"/>
        <w:spacing w:line="360" w:lineRule="auto"/>
        <w:rPr>
          <w:rFonts w:cs="David"/>
          <w:rtl/>
        </w:rPr>
      </w:pPr>
      <w:r>
        <w:rPr>
          <w:rFonts w:cs="David"/>
          <w:sz w:val="28"/>
          <w:szCs w:val="28"/>
          <w:rtl/>
        </w:rPr>
        <w:t>דברי - הסבר</w:t>
      </w:r>
    </w:p>
    <w:p w:rsidR="00000000" w:rsidRDefault="00F04C94">
      <w:pPr>
        <w:spacing w:line="360" w:lineRule="auto"/>
        <w:jc w:val="both"/>
        <w:rPr>
          <w:rFonts w:cs="David"/>
          <w:sz w:val="26"/>
          <w:szCs w:val="26"/>
          <w:u w:val="single"/>
          <w:rtl/>
        </w:rPr>
      </w:pPr>
      <w:r>
        <w:rPr>
          <w:rFonts w:cs="David"/>
          <w:sz w:val="26"/>
          <w:szCs w:val="26"/>
          <w:u w:val="single"/>
          <w:rtl/>
        </w:rPr>
        <w:t xml:space="preserve">לסעיף 5 </w:t>
      </w:r>
    </w:p>
    <w:p w:rsidR="00000000" w:rsidRDefault="00F04C94">
      <w:pPr>
        <w:spacing w:line="360" w:lineRule="auto"/>
        <w:jc w:val="both"/>
        <w:rPr>
          <w:rFonts w:cs="David"/>
          <w:sz w:val="26"/>
          <w:szCs w:val="26"/>
          <w:rtl/>
        </w:rPr>
      </w:pPr>
      <w:r>
        <w:rPr>
          <w:rFonts w:cs="David"/>
          <w:sz w:val="26"/>
          <w:szCs w:val="26"/>
          <w:rtl/>
        </w:rPr>
        <w:t xml:space="preserve">מטרתו של התיקון המוצע הינה להבטיח, כי מירב זמנם של בעלי </w:t>
      </w:r>
      <w:r>
        <w:rPr>
          <w:rFonts w:cs="David"/>
          <w:sz w:val="26"/>
          <w:szCs w:val="26"/>
          <w:rtl/>
        </w:rPr>
        <w:t>התפקידים המרכזיים בממשלה יוקדש לניהול משרדיהם.</w:t>
      </w:r>
    </w:p>
    <w:p w:rsidR="00000000" w:rsidRDefault="00F04C94">
      <w:pPr>
        <w:spacing w:line="360" w:lineRule="auto"/>
        <w:jc w:val="both"/>
        <w:rPr>
          <w:rFonts w:cs="David"/>
          <w:sz w:val="26"/>
          <w:szCs w:val="26"/>
          <w:rtl/>
        </w:rPr>
      </w:pPr>
    </w:p>
    <w:p w:rsidR="00000000" w:rsidRDefault="00F04C94">
      <w:pPr>
        <w:spacing w:line="360" w:lineRule="auto"/>
        <w:jc w:val="both"/>
        <w:rPr>
          <w:rFonts w:cs="David"/>
          <w:sz w:val="26"/>
          <w:szCs w:val="26"/>
          <w:u w:val="single"/>
          <w:rtl/>
        </w:rPr>
      </w:pPr>
      <w:r>
        <w:rPr>
          <w:rFonts w:cs="David"/>
          <w:sz w:val="26"/>
          <w:szCs w:val="26"/>
          <w:u w:val="single"/>
          <w:rtl/>
        </w:rPr>
        <w:t>לסעיף 7</w:t>
      </w:r>
    </w:p>
    <w:p w:rsidR="00000000" w:rsidRDefault="00F04C94">
      <w:pPr>
        <w:spacing w:line="360" w:lineRule="auto"/>
        <w:jc w:val="both"/>
        <w:rPr>
          <w:rFonts w:cs="David"/>
          <w:sz w:val="26"/>
          <w:szCs w:val="26"/>
          <w:rtl/>
        </w:rPr>
      </w:pPr>
      <w:r>
        <w:rPr>
          <w:rFonts w:cs="David"/>
          <w:sz w:val="26"/>
          <w:szCs w:val="26"/>
          <w:rtl/>
        </w:rPr>
        <w:t>מטרתו של התיקון הינה לחזק את הדמוקרטיה בישראל ולמנוע אפשרויות של עיוות רצון הבוחר, כפי שהשתקף בקלפי וזאת על ידי משא ומתנים והסכמים פוליטיים, אשר עלולים להביא להקמת קואליציות, בניגוד לרצון העם.</w:t>
      </w:r>
    </w:p>
    <w:p w:rsidR="00000000" w:rsidRDefault="00F04C94">
      <w:pPr>
        <w:spacing w:line="360" w:lineRule="auto"/>
        <w:jc w:val="both"/>
        <w:rPr>
          <w:rFonts w:cs="David"/>
          <w:sz w:val="26"/>
          <w:szCs w:val="26"/>
          <w:rtl/>
        </w:rPr>
      </w:pPr>
    </w:p>
    <w:p w:rsidR="00000000" w:rsidRDefault="00F04C94">
      <w:pPr>
        <w:spacing w:line="360" w:lineRule="auto"/>
        <w:jc w:val="both"/>
        <w:rPr>
          <w:rFonts w:cs="David"/>
          <w:sz w:val="26"/>
          <w:szCs w:val="26"/>
          <w:u w:val="single"/>
          <w:rtl/>
        </w:rPr>
      </w:pPr>
      <w:r>
        <w:rPr>
          <w:rFonts w:cs="David"/>
          <w:sz w:val="26"/>
          <w:szCs w:val="26"/>
          <w:u w:val="single"/>
          <w:rtl/>
        </w:rPr>
        <w:t xml:space="preserve">לסעיף </w:t>
      </w:r>
      <w:r>
        <w:rPr>
          <w:rFonts w:cs="David"/>
          <w:sz w:val="26"/>
          <w:szCs w:val="26"/>
          <w:u w:val="single"/>
          <w:rtl/>
        </w:rPr>
        <w:t>9</w:t>
      </w:r>
    </w:p>
    <w:p w:rsidR="00000000" w:rsidRDefault="00F04C94">
      <w:pPr>
        <w:spacing w:line="360" w:lineRule="auto"/>
        <w:jc w:val="both"/>
        <w:rPr>
          <w:rFonts w:cs="David"/>
          <w:sz w:val="26"/>
          <w:szCs w:val="26"/>
          <w:rtl/>
        </w:rPr>
      </w:pPr>
      <w:r>
        <w:rPr>
          <w:rFonts w:cs="David"/>
          <w:sz w:val="26"/>
          <w:szCs w:val="26"/>
          <w:rtl/>
        </w:rPr>
        <w:t>לנוכח האמור לעיל בהתייחס להצעה לתיקון סעיף 7, יש צורך בביטולו של הסעיף.</w:t>
      </w:r>
    </w:p>
    <w:p w:rsidR="00000000" w:rsidRDefault="00F04C94">
      <w:pPr>
        <w:spacing w:line="360" w:lineRule="auto"/>
        <w:jc w:val="both"/>
        <w:rPr>
          <w:rFonts w:cs="David"/>
          <w:sz w:val="26"/>
          <w:szCs w:val="26"/>
          <w:rtl/>
        </w:rPr>
      </w:pPr>
    </w:p>
    <w:p w:rsidR="00000000" w:rsidRDefault="00F04C94">
      <w:pPr>
        <w:spacing w:line="360" w:lineRule="auto"/>
        <w:jc w:val="both"/>
        <w:rPr>
          <w:rFonts w:cs="David"/>
          <w:sz w:val="26"/>
          <w:szCs w:val="26"/>
          <w:u w:val="single"/>
          <w:rtl/>
        </w:rPr>
      </w:pPr>
      <w:r>
        <w:rPr>
          <w:rFonts w:cs="David"/>
          <w:sz w:val="26"/>
          <w:szCs w:val="26"/>
          <w:u w:val="single"/>
          <w:rtl/>
        </w:rPr>
        <w:t>לסעיף 10</w:t>
      </w:r>
    </w:p>
    <w:p w:rsidR="00000000" w:rsidRDefault="00F04C94">
      <w:pPr>
        <w:spacing w:line="360" w:lineRule="auto"/>
        <w:jc w:val="both"/>
        <w:rPr>
          <w:rFonts w:cs="David"/>
          <w:sz w:val="26"/>
          <w:szCs w:val="26"/>
          <w:rtl/>
        </w:rPr>
      </w:pPr>
      <w:r>
        <w:rPr>
          <w:rFonts w:cs="David"/>
          <w:sz w:val="26"/>
          <w:szCs w:val="26"/>
          <w:rtl/>
        </w:rPr>
        <w:t>מטרתו של התיקון המוצע הינה למנוע מצב של משבר חוקתי והליכה לבחירות חדשות, במידה וחבר הכנסת העומד בראש הסיעה הגדולה ביותר לא הצליח להרכיב ממשלה. במקרה זה, יוכלו רוב  חברי הכנ</w:t>
      </w:r>
      <w:r>
        <w:rPr>
          <w:rFonts w:cs="David"/>
          <w:sz w:val="26"/>
          <w:szCs w:val="26"/>
          <w:rtl/>
        </w:rPr>
        <w:t>סת להמליץ לנשיא על חבר כנסת אחר לצורך זה.</w:t>
      </w:r>
    </w:p>
    <w:p w:rsidR="00000000" w:rsidRDefault="00F04C94">
      <w:pPr>
        <w:spacing w:line="360" w:lineRule="auto"/>
        <w:jc w:val="both"/>
        <w:rPr>
          <w:rFonts w:cs="David"/>
          <w:sz w:val="26"/>
          <w:szCs w:val="26"/>
          <w:rtl/>
        </w:rPr>
      </w:pPr>
    </w:p>
    <w:p w:rsidR="00000000" w:rsidRDefault="00F04C94">
      <w:pPr>
        <w:spacing w:line="360" w:lineRule="auto"/>
        <w:jc w:val="both"/>
        <w:rPr>
          <w:rFonts w:cs="David"/>
          <w:sz w:val="26"/>
          <w:szCs w:val="26"/>
          <w:u w:val="single"/>
          <w:rtl/>
        </w:rPr>
      </w:pPr>
      <w:r>
        <w:rPr>
          <w:rFonts w:cs="David"/>
          <w:sz w:val="26"/>
          <w:szCs w:val="26"/>
          <w:u w:val="single"/>
          <w:rtl/>
        </w:rPr>
        <w:t xml:space="preserve">לסעיף 28 </w:t>
      </w:r>
    </w:p>
    <w:p w:rsidR="00000000" w:rsidRDefault="00F04C94">
      <w:pPr>
        <w:spacing w:line="360" w:lineRule="auto"/>
        <w:jc w:val="both"/>
        <w:rPr>
          <w:rFonts w:cs="David"/>
          <w:sz w:val="26"/>
          <w:szCs w:val="26"/>
          <w:rtl/>
        </w:rPr>
      </w:pPr>
      <w:r>
        <w:rPr>
          <w:rFonts w:cs="David"/>
          <w:sz w:val="26"/>
          <w:szCs w:val="26"/>
          <w:rtl/>
        </w:rPr>
        <w:t>מטרתו של התיקון המוצע הינה להבטיח את יציבות השלטון בישראל ולאפשר לממשלה שנבחרה לנהל את ענייני המדינה, לעשות כן בלא צורך בהתעסקות פוליטית יומיומית שמטרתה להבטיח את שרידותה. התיקון יביא לשיפור משמעותי באיכ</w:t>
      </w:r>
      <w:r>
        <w:rPr>
          <w:rFonts w:cs="David"/>
          <w:sz w:val="26"/>
          <w:szCs w:val="26"/>
          <w:rtl/>
        </w:rPr>
        <w:t xml:space="preserve">ות השלטון בישראל ויאפשר לממשלה לתכנן ולפעול בסוגיות עתידיות לטובת המדינה ואזרחיה. </w:t>
      </w:r>
    </w:p>
    <w:p w:rsidR="00000000" w:rsidRDefault="00F04C94">
      <w:pPr>
        <w:spacing w:line="360" w:lineRule="auto"/>
        <w:jc w:val="both"/>
        <w:rPr>
          <w:rFonts w:cs="David"/>
          <w:sz w:val="26"/>
          <w:szCs w:val="26"/>
          <w:rtl/>
        </w:rPr>
      </w:pPr>
      <w:r>
        <w:rPr>
          <w:rFonts w:cs="David"/>
          <w:sz w:val="26"/>
          <w:szCs w:val="26"/>
          <w:rtl/>
        </w:rPr>
        <w:t>שינוי של סעיף זה יעשה רק ברוב של שבעים חברי הכנסת. מטרתו של התיקון המוצע הינה להבטיח את מעמדה של הוראת סעיף 28(ב) ולמנוע מצב בו רוב חברי הכנסת יוכלו לבטל בשלב ראשון את ההורא</w:t>
      </w:r>
      <w:r>
        <w:rPr>
          <w:rFonts w:cs="David"/>
          <w:sz w:val="26"/>
          <w:szCs w:val="26"/>
          <w:rtl/>
        </w:rPr>
        <w:t xml:space="preserve">ה ומייד לאחר מכן, להביא בכך לנפילת הממשלה ברוב של 61 חברי כנסת.   </w:t>
      </w:r>
    </w:p>
    <w:p w:rsidR="00000000" w:rsidRDefault="00F04C94">
      <w:pPr>
        <w:spacing w:line="360" w:lineRule="auto"/>
        <w:jc w:val="both"/>
        <w:rPr>
          <w:rFonts w:cs="David"/>
          <w:sz w:val="26"/>
          <w:szCs w:val="26"/>
          <w:rtl/>
        </w:rPr>
      </w:pPr>
      <w:r>
        <w:rPr>
          <w:rFonts w:cs="David"/>
          <w:sz w:val="26"/>
          <w:szCs w:val="26"/>
          <w:rtl/>
        </w:rPr>
        <w:t>-----------------------</w:t>
      </w:r>
    </w:p>
    <w:p w:rsidR="00000000" w:rsidRDefault="00F04C94">
      <w:pPr>
        <w:spacing w:line="360" w:lineRule="auto"/>
        <w:jc w:val="both"/>
        <w:rPr>
          <w:rFonts w:cs="David"/>
          <w:sz w:val="26"/>
          <w:szCs w:val="26"/>
          <w:rtl/>
        </w:rPr>
      </w:pPr>
      <w:r>
        <w:rPr>
          <w:rFonts w:cs="David"/>
          <w:sz w:val="26"/>
          <w:szCs w:val="26"/>
          <w:rtl/>
        </w:rPr>
        <w:t>הוגשה ליו"ר הכנסת ולסגנים</w:t>
      </w:r>
    </w:p>
    <w:p w:rsidR="00000000" w:rsidRDefault="00F04C94">
      <w:pPr>
        <w:spacing w:line="360" w:lineRule="auto"/>
        <w:jc w:val="both"/>
        <w:rPr>
          <w:rFonts w:cs="David"/>
          <w:sz w:val="26"/>
          <w:szCs w:val="26"/>
          <w:rtl/>
        </w:rPr>
      </w:pPr>
      <w:r>
        <w:rPr>
          <w:rFonts w:cs="David"/>
          <w:sz w:val="26"/>
          <w:szCs w:val="26"/>
          <w:rtl/>
        </w:rPr>
        <w:t>והונחה על שולחן הכנסת ביום</w:t>
      </w:r>
    </w:p>
    <w:p w:rsidR="00000000" w:rsidRDefault="00F04C94">
      <w:pPr>
        <w:spacing w:line="360" w:lineRule="auto"/>
        <w:jc w:val="both"/>
        <w:rPr>
          <w:rFonts w:cs="David"/>
          <w:sz w:val="26"/>
          <w:szCs w:val="26"/>
          <w:rtl/>
        </w:rPr>
      </w:pPr>
      <w:r>
        <w:rPr>
          <w:rFonts w:cs="David"/>
          <w:sz w:val="26"/>
          <w:szCs w:val="26"/>
          <w:rtl/>
        </w:rPr>
        <w:t>א בחשון התשס"ז - 23.10.06</w:t>
      </w:r>
    </w:p>
    <w:p w:rsidR="00000000" w:rsidRDefault="00F04C94">
      <w:pPr>
        <w:spacing w:line="360" w:lineRule="auto"/>
        <w:jc w:val="both"/>
        <w:rPr>
          <w:rFonts w:cs="David"/>
          <w:sz w:val="26"/>
          <w:szCs w:val="26"/>
          <w:rtl/>
        </w:rPr>
      </w:pPr>
    </w:p>
    <w:p w:rsidR="00000000" w:rsidRDefault="00F04C94">
      <w:pPr>
        <w:spacing w:line="360" w:lineRule="auto"/>
        <w:jc w:val="both"/>
        <w:rPr>
          <w:rFonts w:cs="David"/>
          <w:sz w:val="26"/>
          <w:szCs w:val="26"/>
          <w:rtl/>
        </w:rPr>
      </w:pPr>
    </w:p>
    <w:p w:rsidR="00000000" w:rsidRDefault="00F04C94">
      <w:pPr>
        <w:spacing w:line="360" w:lineRule="auto"/>
        <w:jc w:val="both"/>
        <w:rPr>
          <w:rFonts w:cs="David"/>
          <w:sz w:val="26"/>
          <w:szCs w:val="26"/>
          <w:rtl/>
        </w:rPr>
      </w:pPr>
    </w:p>
    <w:p w:rsidR="00000000" w:rsidRDefault="00F04C94">
      <w:pPr>
        <w:spacing w:line="360" w:lineRule="auto"/>
        <w:jc w:val="both"/>
        <w:rPr>
          <w:rFonts w:cs="David"/>
          <w:sz w:val="26"/>
          <w:szCs w:val="26"/>
        </w:rPr>
      </w:pPr>
      <w:r>
        <w:rPr>
          <w:rtl/>
        </w:rPr>
        <w:t xml:space="preserve"> </w:t>
      </w: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04C94">
      <w:r>
        <w:separator/>
      </w:r>
    </w:p>
  </w:endnote>
  <w:endnote w:type="continuationSeparator" w:id="0">
    <w:p w:rsidR="00000000" w:rsidRDefault="00F04C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0000000000000000000"/>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04C94">
      <w:r>
        <w:separator/>
      </w:r>
    </w:p>
  </w:footnote>
  <w:footnote w:type="continuationSeparator" w:id="0">
    <w:p w:rsidR="00000000" w:rsidRDefault="00F04C94">
      <w:r>
        <w:continuationSeparator/>
      </w:r>
    </w:p>
  </w:footnote>
  <w:footnote w:id="1">
    <w:p w:rsidR="00000000" w:rsidRDefault="00F04C94">
      <w:pPr>
        <w:pStyle w:val="a8"/>
      </w:pPr>
      <w:r>
        <w:rPr>
          <w:rStyle w:val="aa"/>
          <w:rFonts w:cs="David"/>
        </w:rPr>
        <w:footnoteRef/>
      </w:r>
      <w:r>
        <w:rPr>
          <w:rFonts w:cs="David"/>
          <w:rtl/>
        </w:rPr>
        <w:t xml:space="preserve"> ס"ח התשס"א, עמ' 158.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04C94">
    <w:pPr>
      <w:pStyle w:val="a5"/>
      <w:framePr w:wrap="auto" w:vAnchor="text" w:hAnchor="margin" w:xAlign="center"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F04C94">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64FE1"/>
    <w:multiLevelType w:val="hybridMultilevel"/>
    <w:tmpl w:val="3B72EDB6"/>
    <w:lvl w:ilvl="0" w:tplc="734C954E">
      <w:start w:val="1"/>
      <w:numFmt w:val="hebrew1"/>
      <w:lvlText w:val="(%1)"/>
      <w:lvlJc w:val="left"/>
      <w:pPr>
        <w:tabs>
          <w:tab w:val="num" w:pos="900"/>
        </w:tabs>
        <w:ind w:left="90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76911ãðé ðåä - çå÷ éñåã äîîùìä îòåãëï.doc"/>
    <w:docVar w:name="StartMode" w:val="2"/>
  </w:docVars>
  <w:rsids>
    <w:rsidRoot w:val="00F04C94"/>
    <w:rsid w:val="00F04C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header" w:unhideWhenUsed="0"/>
    <w:lsdException w:name="caption" w:uiPriority="35" w:qFormat="1"/>
    <w:lsdException w:name="footnote reference" w:unhideWhenUsed="0"/>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3">
    <w:name w:val="heading 3"/>
    <w:basedOn w:val="a"/>
    <w:next w:val="a"/>
    <w:link w:val="30"/>
    <w:uiPriority w:val="99"/>
    <w:qFormat/>
    <w:pPr>
      <w:keepNext/>
      <w:jc w:val="center"/>
      <w:outlineLvl w:val="2"/>
    </w:pPr>
    <w:rPr>
      <w:b/>
      <w:bCs/>
      <w:sz w:val="26"/>
      <w:szCs w:val="26"/>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rFonts w:eastAsia="Times New Roman"/>
      <w:b/>
      <w:bCs/>
      <w:sz w:val="28"/>
      <w:szCs w:val="28"/>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cs="Times New Roman"/>
    </w:rPr>
  </w:style>
  <w:style w:type="paragraph" w:styleId="a8">
    <w:name w:val="footnote text"/>
    <w:basedOn w:val="a"/>
    <w:link w:val="a9"/>
    <w:uiPriority w:val="99"/>
    <w:rPr>
      <w:sz w:val="20"/>
      <w:szCs w:val="20"/>
    </w:rPr>
  </w:style>
  <w:style w:type="character" w:customStyle="1" w:styleId="a9">
    <w:name w:val="טקסט הערת שוליים תו"/>
    <w:basedOn w:val="a0"/>
    <w:link w:val="a8"/>
    <w:uiPriority w:val="99"/>
    <w:semiHidden/>
    <w:rPr>
      <w:rFonts w:ascii="Times New Roman" w:hAnsi="Times New Roman" w:cs="Times New Roman"/>
      <w:sz w:val="20"/>
      <w:szCs w:val="20"/>
      <w:lang w:eastAsia="he-IL"/>
    </w:rPr>
  </w:style>
  <w:style w:type="character" w:styleId="aa">
    <w:name w:val="footnote reference"/>
    <w:basedOn w:val="a0"/>
    <w:uiPriority w:val="99"/>
    <w:rPr>
      <w:rFonts w:cs="Times New Roman"/>
      <w:vertAlign w:val="superscript"/>
    </w:rPr>
  </w:style>
  <w:style w:type="paragraph" w:styleId="ab">
    <w:name w:val="Balloon Text"/>
    <w:basedOn w:val="a"/>
    <w:link w:val="ac"/>
    <w:uiPriority w:val="99"/>
    <w:rPr>
      <w:rFonts w:ascii="Tahoma" w:eastAsia="Times New Roman" w:hAnsi="Tahoma"/>
      <w:sz w:val="16"/>
      <w:szCs w:val="16"/>
    </w:rPr>
  </w:style>
  <w:style w:type="character" w:customStyle="1" w:styleId="ac">
    <w:name w:val="טקסט בלונים תו"/>
    <w:basedOn w:val="a0"/>
    <w:link w:val="ab"/>
    <w:uiPriority w:val="99"/>
    <w:semiHidden/>
    <w:rPr>
      <w:rFonts w:ascii="Tahoma" w:hAnsi="Tahoma" w:cs="Tahoma"/>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477</Words>
  <Characters>2389</Characters>
  <Application>Microsoft Office Word</Application>
  <DocSecurity>0</DocSecurity>
  <Lines>19</Lines>
  <Paragraphs>5</Paragraphs>
  <ScaleCrop>false</ScaleCrop>
  <Company>knesset</Company>
  <LinksUpToDate>false</LinksUpToDate>
  <CharactersWithSpaces>2861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יסוד הממשלה (תיקונים)</dc:title>
  <dc:subject/>
  <dc:creator>Knesset</dc:creator>
  <cp:keywords/>
  <dc:description/>
  <cp:lastModifiedBy>שמואל כוכב</cp:lastModifiedBy>
  <cp:revision>2</cp:revision>
  <cp:lastPrinted>2006-10-22T12:15:00Z</cp:lastPrinted>
  <dcterms:created xsi:type="dcterms:W3CDTF">2015-02-03T17:02:00Z</dcterms:created>
  <dcterms:modified xsi:type="dcterms:W3CDTF">2015-02-03T17:02:00Z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129</vt:i4>
  </property>
  <property fmtid="{D5CDD505-2E9C-101B-9397-08002B2CF9AE}" pid="3" name="Nose">
    <vt:lpwstr>':הלשכה המשפטית:חקיקה - נוסח:1.טיוטה לטרומית'_x000d__x000d_</vt:lpwstr>
  </property>
  <property fmtid="{D5CDD505-2E9C-101B-9397-08002B2CF9AE}" pid="4" name="Tizkoret">
    <vt:lpwstr/>
  </property>
  <property fmtid="{D5CDD505-2E9C-101B-9397-08002B2CF9AE}" pid="5" name="YozemHatzaa_ChakList">
    <vt:lpwstr>דני נוה</vt:lpwstr>
  </property>
  <property fmtid="{D5CDD505-2E9C-101B-9397-08002B2CF9AE}" pid="6" name="סימוכין">
    <vt:i4>4583105</vt:i4>
  </property>
  <property fmtid="{D5CDD505-2E9C-101B-9397-08002B2CF9AE}" pid="7" name="תאריך המסמך">
    <vt:filetime>2005-03-03T22:00:00Z</vt:filetime>
  </property>
  <property fmtid="{D5CDD505-2E9C-101B-9397-08002B2CF9AE}" pid="8" name="CodeProfile">
    <vt:lpwstr>85</vt:lpwstr>
  </property>
  <property fmtid="{D5CDD505-2E9C-101B-9397-08002B2CF9AE}" pid="9" name="AutoNumber">
    <vt:lpwstr>05098306</vt:lpwstr>
  </property>
  <property fmtid="{D5CDD505-2E9C-101B-9397-08002B2CF9AE}" pid="10" name="מספר הצעת חוק למיון">
    <vt:lpwstr>1628</vt:lpwstr>
  </property>
  <property fmtid="{D5CDD505-2E9C-101B-9397-08002B2CF9AE}" pid="11" name="SDDocDate">
    <vt:lpwstr>2006-10-22T00:00:00Z</vt:lpwstr>
  </property>
  <property fmtid="{D5CDD505-2E9C-101B-9397-08002B2CF9AE}" pid="12" name="SDHebDate">
    <vt:lpwstr>ל' בתשרי, התשס"ז</vt:lpwstr>
  </property>
  <property fmtid="{D5CDD505-2E9C-101B-9397-08002B2CF9AE}" pid="13" name="SDCategories">
    <vt:lpwstr>:דף הבית:נושאים:חקיקה:נוסח לדיון מוקדם;#:הלשכה המשפטית:לשכה משפטית:התכתבויות / דואר יוצא;#</vt:lpwstr>
  </property>
  <property fmtid="{D5CDD505-2E9C-101B-9397-08002B2CF9AE}" pid="14" name="תאריך הנחה">
    <vt:lpwstr/>
  </property>
  <property fmtid="{D5CDD505-2E9C-101B-9397-08002B2CF9AE}" pid="15" name="Vaada">
    <vt:lpwstr/>
  </property>
  <property fmtid="{D5CDD505-2E9C-101B-9397-08002B2CF9AE}" pid="16" name="HebrewDate">
    <vt:lpwstr/>
  </property>
  <property fmtid="{D5CDD505-2E9C-101B-9397-08002B2CF9AE}" pid="17" name="SDAuthor">
    <vt:lpwstr>עדי טייכר</vt:lpwstr>
  </property>
  <property fmtid="{D5CDD505-2E9C-101B-9397-08002B2CF9AE}" pid="18" name="MechaberMismach">
    <vt:lpwstr/>
  </property>
  <property fmtid="{D5CDD505-2E9C-101B-9397-08002B2CF9AE}" pid="19" name="MisHatzaatChok">
    <vt:lpwstr>פ/1628/17</vt:lpwstr>
  </property>
  <property fmtid="{D5CDD505-2E9C-101B-9397-08002B2CF9AE}" pid="20" name="SDRemark">
    <vt:lpwstr/>
  </property>
  <property fmtid="{D5CDD505-2E9C-101B-9397-08002B2CF9AE}" pid="21" name="SDOfflineTo">
    <vt:lpwstr/>
  </property>
  <property fmtid="{D5CDD505-2E9C-101B-9397-08002B2CF9AE}" pid="22" name="SDDistList">
    <vt:lpwstr/>
  </property>
  <property fmtid="{D5CDD505-2E9C-101B-9397-08002B2CF9AE}" pid="23" name="SDDistDate">
    <vt:lpwstr/>
  </property>
  <property fmtid="{D5CDD505-2E9C-101B-9397-08002B2CF9AE}" pid="24" name="SDOriginalID">
    <vt:lpwstr/>
  </property>
  <property fmtid="{D5CDD505-2E9C-101B-9397-08002B2CF9AE}" pid="25" name="SDSenderName">
    <vt:lpwstr/>
  </property>
  <property fmtid="{D5CDD505-2E9C-101B-9397-08002B2CF9AE}" pid="26" name="SDToList">
    <vt:lpwstr/>
  </property>
  <property fmtid="{D5CDD505-2E9C-101B-9397-08002B2CF9AE}" pid="27" name="SDCCList">
    <vt:lpwstr/>
  </property>
  <property fmtid="{D5CDD505-2E9C-101B-9397-08002B2CF9AE}" pid="28" name="STHasReminders">
    <vt:lpwstr>0</vt:lpwstr>
  </property>
  <property fmtid="{D5CDD505-2E9C-101B-9397-08002B2CF9AE}" pid="29" name="SDLink">
    <vt:lpwstr>, </vt:lpwstr>
  </property>
  <property fmtid="{D5CDD505-2E9C-101B-9397-08002B2CF9AE}" pid="30" name="Num_Gim1">
    <vt:lpwstr/>
  </property>
  <property fmtid="{D5CDD505-2E9C-101B-9397-08002B2CF9AE}" pid="31" name="NoseA">
    <vt:lpwstr/>
  </property>
  <property fmtid="{D5CDD505-2E9C-101B-9397-08002B2CF9AE}" pid="32" name="NoseB">
    <vt:lpwstr/>
  </property>
  <property fmtid="{D5CDD505-2E9C-101B-9397-08002B2CF9AE}" pid="33" name="knesset_number">
    <vt:lpwstr/>
  </property>
  <property fmtid="{D5CDD505-2E9C-101B-9397-08002B2CF9AE}" pid="34" name="ValidFrom">
    <vt:lpwstr/>
  </property>
  <property fmtid="{D5CDD505-2E9C-101B-9397-08002B2CF9AE}" pid="35" name="ValidUntill">
    <vt:lpwstr/>
  </property>
  <property fmtid="{D5CDD505-2E9C-101B-9397-08002B2CF9AE}" pid="36" name="To1">
    <vt:lpwstr/>
  </property>
  <property fmtid="{D5CDD505-2E9C-101B-9397-08002B2CF9AE}" pid="37" name="From">
    <vt:lpwstr/>
  </property>
  <property fmtid="{D5CDD505-2E9C-101B-9397-08002B2CF9AE}" pid="38" name="body">
    <vt:lpwstr/>
  </property>
</Properties>
</file>