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D1A3F">
      <w:pPr>
        <w:pStyle w:val="HeadHatzaotHok"/>
        <w:rPr>
          <w:rFonts w:cs="David"/>
          <w:sz w:val="28"/>
          <w:szCs w:val="28"/>
          <w:rtl/>
        </w:rPr>
      </w:pPr>
      <w:bookmarkStart w:id="0" w:name="_GoBack"/>
      <w:bookmarkEnd w:id="0"/>
      <w:r>
        <w:rPr>
          <w:rFonts w:cs="David"/>
          <w:sz w:val="28"/>
          <w:szCs w:val="28"/>
          <w:rtl/>
        </w:rPr>
        <w:t xml:space="preserve">הכנסת </w:t>
      </w:r>
      <w:bookmarkStart w:id="1" w:name="KnessetNum"/>
      <w:r>
        <w:rPr>
          <w:rFonts w:cs="David"/>
          <w:sz w:val="28"/>
          <w:szCs w:val="28"/>
          <w:rtl/>
        </w:rPr>
        <w:t>השבע-עשרה</w:t>
      </w:r>
      <w:bookmarkEnd w:id="1"/>
    </w:p>
    <w:p w:rsidR="00000000" w:rsidRDefault="004D1A3F">
      <w:pPr>
        <w:rPr>
          <w:rFonts w:cs="David"/>
          <w:sz w:val="26"/>
          <w:szCs w:val="26"/>
          <w:rtl/>
        </w:rPr>
      </w:pPr>
    </w:p>
    <w:p w:rsidR="00000000" w:rsidRDefault="004D1A3F">
      <w:pPr>
        <w:rPr>
          <w:rFonts w:cs="David"/>
          <w:sz w:val="26"/>
          <w:szCs w:val="26"/>
          <w:rtl/>
        </w:rPr>
      </w:pPr>
    </w:p>
    <w:tbl>
      <w:tblPr>
        <w:bidiVisual/>
        <w:tblW w:w="8460" w:type="dxa"/>
        <w:tblInd w:w="295" w:type="dxa"/>
        <w:tblBorders>
          <w:bottom w:val="single" w:sz="4" w:space="0" w:color="auto"/>
        </w:tblBorders>
        <w:tblLook w:val="0000" w:firstRow="0" w:lastRow="0" w:firstColumn="0" w:lastColumn="0" w:noHBand="0" w:noVBand="0"/>
      </w:tblPr>
      <w:tblGrid>
        <w:gridCol w:w="2835"/>
        <w:gridCol w:w="1923"/>
        <w:gridCol w:w="1887"/>
        <w:gridCol w:w="1815"/>
      </w:tblGrid>
      <w:tr w:rsidR="00000000">
        <w:trPr>
          <w:cantSplit/>
        </w:trPr>
        <w:tc>
          <w:tcPr>
            <w:tcW w:w="2835"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הצעת חוק של חברי הכ</w:t>
            </w:r>
            <w:r>
              <w:rPr>
                <w:rFonts w:cs="David"/>
                <w:sz w:val="26"/>
                <w:szCs w:val="26"/>
                <w:rtl/>
              </w:rPr>
              <w:t>נסת</w:t>
            </w:r>
          </w:p>
        </w:tc>
        <w:tc>
          <w:tcPr>
            <w:tcW w:w="1923" w:type="dxa"/>
            <w:tcBorders>
              <w:top w:val="nil"/>
              <w:left w:val="nil"/>
              <w:bottom w:val="nil"/>
              <w:right w:val="nil"/>
            </w:tcBorders>
          </w:tcPr>
          <w:p w:rsidR="00000000" w:rsidRDefault="004D1A3F">
            <w:pPr>
              <w:spacing w:line="360" w:lineRule="auto"/>
              <w:jc w:val="both"/>
              <w:rPr>
                <w:b/>
                <w:bCs/>
                <w:sz w:val="26"/>
                <w:szCs w:val="26"/>
                <w:rtl/>
              </w:rPr>
            </w:pPr>
            <w:r>
              <w:rPr>
                <w:rFonts w:cs="David"/>
                <w:b/>
                <w:bCs/>
                <w:sz w:val="26"/>
                <w:szCs w:val="26"/>
                <w:rtl/>
              </w:rPr>
              <w:t>ליה שמטוב</w:t>
            </w:r>
          </w:p>
        </w:tc>
        <w:tc>
          <w:tcPr>
            <w:tcW w:w="1887" w:type="dxa"/>
            <w:vMerge w:val="restart"/>
            <w:tcBorders>
              <w:top w:val="nil"/>
              <w:left w:val="nil"/>
              <w:bottom w:val="nil"/>
              <w:right w:val="nil"/>
            </w:tcBorders>
          </w:tcPr>
          <w:p w:rsidR="00000000" w:rsidRDefault="004D1A3F">
            <w:pPr>
              <w:spacing w:after="120"/>
              <w:rPr>
                <w:rFonts w:cs="David"/>
                <w:sz w:val="26"/>
                <w:szCs w:val="26"/>
                <w:rtl/>
              </w:rPr>
            </w:pPr>
            <w:r>
              <w:rPr>
                <w:rFonts w:cs="David"/>
                <w:sz w:val="26"/>
                <w:szCs w:val="26"/>
                <w:rtl/>
              </w:rPr>
              <w:t>יצחק  גלנטי</w:t>
            </w:r>
          </w:p>
          <w:p w:rsidR="00000000" w:rsidRDefault="004D1A3F">
            <w:pPr>
              <w:spacing w:after="120"/>
              <w:rPr>
                <w:rFonts w:cs="David"/>
                <w:sz w:val="26"/>
                <w:szCs w:val="26"/>
                <w:rtl/>
              </w:rPr>
            </w:pPr>
            <w:r>
              <w:rPr>
                <w:rFonts w:cs="David"/>
                <w:sz w:val="26"/>
                <w:szCs w:val="26"/>
                <w:rtl/>
              </w:rPr>
              <w:t>שרה מרום שלו</w:t>
            </w:r>
          </w:p>
          <w:p w:rsidR="00000000" w:rsidRDefault="004D1A3F">
            <w:pPr>
              <w:spacing w:after="120"/>
              <w:rPr>
                <w:rFonts w:cs="David"/>
                <w:sz w:val="26"/>
                <w:szCs w:val="26"/>
                <w:rtl/>
              </w:rPr>
            </w:pPr>
            <w:r>
              <w:rPr>
                <w:rFonts w:cs="David"/>
                <w:sz w:val="26"/>
                <w:szCs w:val="26"/>
                <w:rtl/>
              </w:rPr>
              <w:t>מיכאל נודלמן</w:t>
            </w:r>
          </w:p>
          <w:p w:rsidR="00000000" w:rsidRDefault="004D1A3F">
            <w:pPr>
              <w:spacing w:after="120"/>
              <w:rPr>
                <w:rFonts w:cs="David"/>
                <w:sz w:val="26"/>
                <w:szCs w:val="26"/>
                <w:rtl/>
              </w:rPr>
            </w:pPr>
            <w:r>
              <w:rPr>
                <w:rFonts w:cs="David"/>
                <w:sz w:val="26"/>
                <w:szCs w:val="26"/>
                <w:rtl/>
              </w:rPr>
              <w:t>דוד אזולאי</w:t>
            </w:r>
          </w:p>
          <w:p w:rsidR="00000000" w:rsidRDefault="004D1A3F">
            <w:pPr>
              <w:spacing w:after="120"/>
              <w:rPr>
                <w:rFonts w:cs="David"/>
                <w:sz w:val="26"/>
                <w:szCs w:val="26"/>
                <w:rtl/>
              </w:rPr>
            </w:pPr>
            <w:r>
              <w:rPr>
                <w:rFonts w:cs="David"/>
                <w:sz w:val="26"/>
                <w:szCs w:val="26"/>
                <w:rtl/>
              </w:rPr>
              <w:t>אברהם מיכאלי</w:t>
            </w:r>
          </w:p>
          <w:p w:rsidR="00000000" w:rsidRDefault="004D1A3F">
            <w:pPr>
              <w:spacing w:after="120"/>
              <w:rPr>
                <w:rFonts w:cs="David"/>
                <w:sz w:val="26"/>
                <w:szCs w:val="26"/>
                <w:rtl/>
              </w:rPr>
            </w:pPr>
            <w:r>
              <w:rPr>
                <w:rFonts w:cs="David"/>
                <w:sz w:val="26"/>
                <w:szCs w:val="26"/>
                <w:rtl/>
              </w:rPr>
              <w:t>אמנון כהן</w:t>
            </w:r>
          </w:p>
          <w:p w:rsidR="00000000" w:rsidRDefault="004D1A3F">
            <w:pPr>
              <w:spacing w:after="120"/>
              <w:rPr>
                <w:rFonts w:cs="David"/>
                <w:sz w:val="26"/>
                <w:szCs w:val="26"/>
                <w:rtl/>
              </w:rPr>
            </w:pPr>
            <w:r>
              <w:rPr>
                <w:rFonts w:cs="David"/>
                <w:sz w:val="26"/>
                <w:szCs w:val="26"/>
                <w:rtl/>
              </w:rPr>
              <w:t>יצחק זיו</w:t>
            </w:r>
          </w:p>
          <w:p w:rsidR="00000000" w:rsidRDefault="004D1A3F">
            <w:pPr>
              <w:spacing w:after="120"/>
              <w:rPr>
                <w:rFonts w:cs="David"/>
                <w:sz w:val="26"/>
                <w:szCs w:val="26"/>
                <w:rtl/>
              </w:rPr>
            </w:pPr>
            <w:r>
              <w:rPr>
                <w:rFonts w:cs="David"/>
                <w:sz w:val="26"/>
                <w:szCs w:val="26"/>
                <w:rtl/>
              </w:rPr>
              <w:t>מנחם בן-ששון</w:t>
            </w:r>
          </w:p>
          <w:p w:rsidR="00000000" w:rsidRDefault="004D1A3F">
            <w:pPr>
              <w:spacing w:after="120"/>
              <w:rPr>
                <w:rFonts w:cs="David"/>
                <w:sz w:val="26"/>
                <w:szCs w:val="26"/>
                <w:rtl/>
              </w:rPr>
            </w:pPr>
            <w:r>
              <w:rPr>
                <w:rFonts w:cs="David"/>
                <w:sz w:val="26"/>
                <w:szCs w:val="26"/>
                <w:rtl/>
              </w:rPr>
              <w:t>רונית תירוש</w:t>
            </w:r>
          </w:p>
          <w:p w:rsidR="00000000" w:rsidRDefault="004D1A3F">
            <w:pPr>
              <w:spacing w:after="120"/>
              <w:rPr>
                <w:rFonts w:cs="David"/>
                <w:sz w:val="26"/>
                <w:szCs w:val="26"/>
                <w:rtl/>
              </w:rPr>
            </w:pPr>
            <w:r>
              <w:rPr>
                <w:rFonts w:cs="David"/>
                <w:sz w:val="26"/>
                <w:szCs w:val="26"/>
                <w:rtl/>
              </w:rPr>
              <w:t>מרינה סולודקין</w:t>
            </w:r>
          </w:p>
          <w:p w:rsidR="00000000" w:rsidRDefault="004D1A3F">
            <w:pPr>
              <w:spacing w:after="120"/>
              <w:rPr>
                <w:rFonts w:cs="David"/>
                <w:sz w:val="26"/>
                <w:szCs w:val="26"/>
                <w:rtl/>
              </w:rPr>
            </w:pPr>
            <w:r>
              <w:rPr>
                <w:rFonts w:cs="David"/>
                <w:sz w:val="26"/>
                <w:szCs w:val="26"/>
                <w:rtl/>
              </w:rPr>
              <w:t>נאדיה חילו</w:t>
            </w:r>
          </w:p>
          <w:p w:rsidR="00000000" w:rsidRDefault="004D1A3F">
            <w:pPr>
              <w:spacing w:after="120"/>
              <w:rPr>
                <w:rFonts w:cs="David"/>
                <w:sz w:val="26"/>
                <w:szCs w:val="26"/>
                <w:rtl/>
              </w:rPr>
            </w:pPr>
            <w:r>
              <w:rPr>
                <w:rFonts w:cs="David"/>
                <w:sz w:val="26"/>
                <w:szCs w:val="26"/>
                <w:rtl/>
              </w:rPr>
              <w:t>יעקב ליצמן</w:t>
            </w:r>
          </w:p>
          <w:p w:rsidR="00000000" w:rsidRDefault="004D1A3F">
            <w:pPr>
              <w:spacing w:after="120"/>
              <w:rPr>
                <w:rFonts w:cs="David"/>
                <w:sz w:val="26"/>
                <w:szCs w:val="26"/>
                <w:rtl/>
              </w:rPr>
            </w:pPr>
            <w:r>
              <w:rPr>
                <w:rFonts w:cs="David"/>
                <w:sz w:val="26"/>
                <w:szCs w:val="26"/>
                <w:rtl/>
              </w:rPr>
              <w:t>שמואל הלפרט</w:t>
            </w:r>
          </w:p>
          <w:p w:rsidR="00000000" w:rsidRDefault="004D1A3F">
            <w:pPr>
              <w:spacing w:after="120"/>
              <w:rPr>
                <w:rFonts w:cs="David"/>
                <w:sz w:val="26"/>
                <w:szCs w:val="26"/>
                <w:rtl/>
              </w:rPr>
            </w:pPr>
            <w:r>
              <w:rPr>
                <w:rFonts w:cs="David"/>
                <w:sz w:val="26"/>
                <w:szCs w:val="26"/>
                <w:rtl/>
              </w:rPr>
              <w:t>רן כהן</w:t>
            </w:r>
          </w:p>
          <w:p w:rsidR="00000000" w:rsidRDefault="004D1A3F">
            <w:pPr>
              <w:spacing w:after="120"/>
              <w:rPr>
                <w:rFonts w:cs="David"/>
                <w:sz w:val="26"/>
                <w:szCs w:val="26"/>
                <w:rtl/>
              </w:rPr>
            </w:pPr>
            <w:r>
              <w:rPr>
                <w:rFonts w:cs="David"/>
                <w:sz w:val="26"/>
                <w:szCs w:val="26"/>
                <w:rtl/>
              </w:rPr>
              <w:t>סטס מיסז'ניקוב</w:t>
            </w:r>
          </w:p>
          <w:p w:rsidR="00000000" w:rsidRDefault="004D1A3F">
            <w:pPr>
              <w:spacing w:after="120"/>
              <w:rPr>
                <w:rFonts w:cs="David"/>
                <w:sz w:val="26"/>
                <w:szCs w:val="26"/>
                <w:rtl/>
              </w:rPr>
            </w:pPr>
            <w:r>
              <w:rPr>
                <w:rFonts w:cs="David"/>
                <w:sz w:val="26"/>
                <w:szCs w:val="26"/>
                <w:rtl/>
              </w:rPr>
              <w:t>אורית נוקד</w:t>
            </w:r>
          </w:p>
          <w:p w:rsidR="00000000" w:rsidRDefault="004D1A3F">
            <w:pPr>
              <w:spacing w:after="120"/>
              <w:rPr>
                <w:rFonts w:cs="David"/>
                <w:sz w:val="26"/>
                <w:szCs w:val="26"/>
                <w:rtl/>
              </w:rPr>
            </w:pPr>
            <w:r>
              <w:rPr>
                <w:rFonts w:cs="David"/>
                <w:sz w:val="26"/>
                <w:szCs w:val="26"/>
                <w:rtl/>
              </w:rPr>
              <w:t>יעקב כהן</w:t>
            </w:r>
          </w:p>
          <w:p w:rsidR="00000000" w:rsidRDefault="004D1A3F">
            <w:pPr>
              <w:spacing w:after="120"/>
              <w:rPr>
                <w:rFonts w:cs="David"/>
                <w:sz w:val="26"/>
                <w:szCs w:val="26"/>
                <w:rtl/>
              </w:rPr>
            </w:pPr>
            <w:r>
              <w:rPr>
                <w:rFonts w:cs="David"/>
                <w:sz w:val="26"/>
                <w:szCs w:val="26"/>
                <w:rtl/>
              </w:rPr>
              <w:t>זהבה גלאון</w:t>
            </w:r>
          </w:p>
          <w:p w:rsidR="00000000" w:rsidRDefault="004D1A3F">
            <w:pPr>
              <w:spacing w:after="120"/>
              <w:rPr>
                <w:rFonts w:cs="David"/>
                <w:sz w:val="26"/>
                <w:szCs w:val="26"/>
                <w:rtl/>
              </w:rPr>
            </w:pPr>
            <w:r>
              <w:rPr>
                <w:rFonts w:cs="David"/>
                <w:sz w:val="26"/>
                <w:szCs w:val="26"/>
                <w:rtl/>
              </w:rPr>
              <w:t>חיים אורון</w:t>
            </w:r>
          </w:p>
          <w:p w:rsidR="00000000" w:rsidRDefault="004D1A3F">
            <w:pPr>
              <w:spacing w:after="120"/>
              <w:rPr>
                <w:rFonts w:cs="David"/>
                <w:sz w:val="26"/>
                <w:szCs w:val="26"/>
                <w:rtl/>
              </w:rPr>
            </w:pPr>
            <w:r>
              <w:rPr>
                <w:rFonts w:cs="David"/>
                <w:sz w:val="26"/>
                <w:szCs w:val="26"/>
                <w:rtl/>
              </w:rPr>
              <w:t>ראובן ריבלין</w:t>
            </w:r>
          </w:p>
          <w:p w:rsidR="00000000" w:rsidRDefault="004D1A3F">
            <w:pPr>
              <w:spacing w:after="120"/>
              <w:rPr>
                <w:rFonts w:cs="David"/>
                <w:sz w:val="26"/>
                <w:szCs w:val="26"/>
                <w:rtl/>
              </w:rPr>
            </w:pPr>
            <w:r>
              <w:rPr>
                <w:rFonts w:cs="David"/>
                <w:sz w:val="26"/>
                <w:szCs w:val="26"/>
                <w:rtl/>
              </w:rPr>
              <w:t>משה גפני</w:t>
            </w:r>
          </w:p>
          <w:p w:rsidR="00000000" w:rsidRDefault="004D1A3F">
            <w:pPr>
              <w:spacing w:after="120"/>
              <w:rPr>
                <w:rFonts w:cs="David"/>
                <w:sz w:val="26"/>
                <w:szCs w:val="26"/>
                <w:rtl/>
              </w:rPr>
            </w:pPr>
            <w:r>
              <w:rPr>
                <w:rFonts w:cs="David"/>
                <w:sz w:val="26"/>
                <w:szCs w:val="26"/>
                <w:rtl/>
              </w:rPr>
              <w:t>י</w:t>
            </w:r>
            <w:r>
              <w:rPr>
                <w:rFonts w:cs="David"/>
                <w:sz w:val="26"/>
                <w:szCs w:val="26"/>
                <w:rtl/>
              </w:rPr>
              <w:t>צחק לוי</w:t>
            </w:r>
          </w:p>
          <w:p w:rsidR="00000000" w:rsidRDefault="004D1A3F">
            <w:pPr>
              <w:spacing w:after="120"/>
              <w:rPr>
                <w:rFonts w:cs="David"/>
                <w:sz w:val="26"/>
                <w:szCs w:val="26"/>
                <w:rtl/>
              </w:rPr>
            </w:pPr>
            <w:r>
              <w:rPr>
                <w:rFonts w:cs="David"/>
                <w:sz w:val="26"/>
                <w:szCs w:val="26"/>
                <w:rtl/>
              </w:rPr>
              <w:t>זבולון אורלב</w:t>
            </w:r>
          </w:p>
          <w:p w:rsidR="00000000" w:rsidRDefault="004D1A3F">
            <w:pPr>
              <w:spacing w:after="120"/>
              <w:rPr>
                <w:rFonts w:cs="David"/>
                <w:sz w:val="26"/>
                <w:szCs w:val="26"/>
                <w:rtl/>
              </w:rPr>
            </w:pPr>
            <w:r>
              <w:rPr>
                <w:rFonts w:cs="David"/>
                <w:sz w:val="26"/>
                <w:szCs w:val="26"/>
                <w:rtl/>
              </w:rPr>
              <w:t>משה כחלון</w:t>
            </w:r>
          </w:p>
          <w:p w:rsidR="00000000" w:rsidRDefault="004D1A3F">
            <w:pPr>
              <w:spacing w:after="120"/>
              <w:rPr>
                <w:rFonts w:cs="David"/>
                <w:sz w:val="26"/>
                <w:szCs w:val="26"/>
                <w:rtl/>
              </w:rPr>
            </w:pPr>
            <w:r>
              <w:rPr>
                <w:rFonts w:cs="David"/>
                <w:sz w:val="26"/>
                <w:szCs w:val="26"/>
                <w:rtl/>
              </w:rPr>
              <w:t>ואסל טאהא</w:t>
            </w:r>
          </w:p>
          <w:p w:rsidR="00000000" w:rsidRDefault="004D1A3F">
            <w:pPr>
              <w:spacing w:after="120"/>
              <w:rPr>
                <w:rFonts w:cs="David"/>
                <w:sz w:val="26"/>
                <w:szCs w:val="26"/>
                <w:rtl/>
              </w:rPr>
            </w:pPr>
            <w:r>
              <w:rPr>
                <w:rFonts w:cs="David"/>
                <w:sz w:val="26"/>
                <w:szCs w:val="26"/>
                <w:rtl/>
              </w:rPr>
              <w:t>עמיחי אילון</w:t>
            </w:r>
          </w:p>
          <w:p w:rsidR="00000000" w:rsidRDefault="004D1A3F">
            <w:pPr>
              <w:spacing w:after="120"/>
              <w:rPr>
                <w:rFonts w:cs="David"/>
                <w:sz w:val="26"/>
                <w:szCs w:val="26"/>
                <w:rtl/>
              </w:rPr>
            </w:pPr>
            <w:r>
              <w:rPr>
                <w:rFonts w:cs="David"/>
                <w:sz w:val="26"/>
                <w:szCs w:val="26"/>
                <w:rtl/>
              </w:rPr>
              <w:t>אברהים צרצור</w:t>
            </w:r>
          </w:p>
          <w:p w:rsidR="00000000" w:rsidRDefault="004D1A3F">
            <w:pPr>
              <w:spacing w:after="120"/>
              <w:rPr>
                <w:rFonts w:cs="David"/>
                <w:sz w:val="26"/>
                <w:szCs w:val="26"/>
                <w:rtl/>
              </w:rPr>
            </w:pPr>
            <w:r>
              <w:rPr>
                <w:rFonts w:cs="David"/>
                <w:sz w:val="26"/>
                <w:szCs w:val="26"/>
                <w:rtl/>
              </w:rPr>
              <w:t>מוחמד ברכה</w:t>
            </w:r>
          </w:p>
        </w:tc>
        <w:tc>
          <w:tcPr>
            <w:tcW w:w="1815" w:type="dxa"/>
            <w:vMerge w:val="restart"/>
            <w:tcBorders>
              <w:top w:val="nil"/>
              <w:left w:val="nil"/>
              <w:bottom w:val="nil"/>
              <w:right w:val="nil"/>
            </w:tcBorders>
          </w:tcPr>
          <w:p w:rsidR="00000000" w:rsidRDefault="004D1A3F">
            <w:pPr>
              <w:spacing w:after="120"/>
              <w:rPr>
                <w:rFonts w:cs="David"/>
                <w:sz w:val="26"/>
                <w:szCs w:val="26"/>
                <w:rtl/>
              </w:rPr>
            </w:pPr>
            <w:r>
              <w:rPr>
                <w:rFonts w:cs="David"/>
                <w:sz w:val="26"/>
                <w:szCs w:val="26"/>
                <w:rtl/>
              </w:rPr>
              <w:t>חיים כץ</w:t>
            </w:r>
          </w:p>
          <w:p w:rsidR="00000000" w:rsidRDefault="004D1A3F">
            <w:pPr>
              <w:spacing w:after="120"/>
              <w:rPr>
                <w:rFonts w:cs="David"/>
                <w:sz w:val="26"/>
                <w:szCs w:val="26"/>
                <w:rtl/>
              </w:rPr>
            </w:pPr>
            <w:r>
              <w:rPr>
                <w:rFonts w:cs="David"/>
                <w:sz w:val="26"/>
                <w:szCs w:val="26"/>
                <w:rtl/>
              </w:rPr>
              <w:t>אפי איתם</w:t>
            </w:r>
          </w:p>
          <w:p w:rsidR="00000000" w:rsidRDefault="004D1A3F">
            <w:pPr>
              <w:spacing w:after="120"/>
              <w:rPr>
                <w:rFonts w:cs="David"/>
                <w:sz w:val="26"/>
                <w:szCs w:val="26"/>
                <w:rtl/>
              </w:rPr>
            </w:pPr>
            <w:r>
              <w:rPr>
                <w:rFonts w:cs="David"/>
                <w:sz w:val="26"/>
                <w:szCs w:val="26"/>
                <w:rtl/>
              </w:rPr>
              <w:t>עתניאל שנלר</w:t>
            </w:r>
          </w:p>
          <w:p w:rsidR="00000000" w:rsidRDefault="004D1A3F">
            <w:pPr>
              <w:spacing w:after="120"/>
              <w:rPr>
                <w:rFonts w:cs="David"/>
                <w:sz w:val="26"/>
                <w:szCs w:val="26"/>
                <w:rtl/>
              </w:rPr>
            </w:pPr>
            <w:r>
              <w:rPr>
                <w:rFonts w:cs="David"/>
                <w:sz w:val="26"/>
                <w:szCs w:val="26"/>
                <w:rtl/>
              </w:rPr>
              <w:t>שי חרמש</w:t>
            </w:r>
          </w:p>
          <w:p w:rsidR="00000000" w:rsidRDefault="004D1A3F">
            <w:pPr>
              <w:spacing w:after="120"/>
              <w:rPr>
                <w:rFonts w:cs="David"/>
                <w:sz w:val="26"/>
                <w:szCs w:val="26"/>
                <w:rtl/>
              </w:rPr>
            </w:pPr>
            <w:r>
              <w:rPr>
                <w:rFonts w:cs="David"/>
                <w:sz w:val="26"/>
                <w:szCs w:val="26"/>
                <w:rtl/>
              </w:rPr>
              <w:t>אחמד טיבי</w:t>
            </w:r>
          </w:p>
          <w:p w:rsidR="00000000" w:rsidRDefault="004D1A3F">
            <w:pPr>
              <w:spacing w:after="120"/>
              <w:rPr>
                <w:rFonts w:cs="David"/>
                <w:sz w:val="26"/>
                <w:szCs w:val="26"/>
                <w:rtl/>
              </w:rPr>
            </w:pPr>
            <w:r>
              <w:rPr>
                <w:rFonts w:cs="David"/>
                <w:sz w:val="26"/>
                <w:szCs w:val="26"/>
                <w:rtl/>
              </w:rPr>
              <w:t>יוסי ביילין</w:t>
            </w:r>
          </w:p>
          <w:p w:rsidR="00000000" w:rsidRDefault="004D1A3F">
            <w:pPr>
              <w:spacing w:after="120"/>
              <w:rPr>
                <w:rFonts w:cs="David"/>
                <w:sz w:val="26"/>
                <w:szCs w:val="26"/>
                <w:rtl/>
              </w:rPr>
            </w:pPr>
            <w:r>
              <w:rPr>
                <w:rFonts w:cs="David"/>
                <w:sz w:val="26"/>
                <w:szCs w:val="26"/>
                <w:rtl/>
              </w:rPr>
              <w:t>מאיר פרוש</w:t>
            </w:r>
          </w:p>
          <w:p w:rsidR="00000000" w:rsidRDefault="004D1A3F">
            <w:pPr>
              <w:spacing w:after="120"/>
              <w:rPr>
                <w:rFonts w:cs="David"/>
                <w:sz w:val="26"/>
                <w:szCs w:val="26"/>
                <w:rtl/>
              </w:rPr>
            </w:pPr>
            <w:r>
              <w:rPr>
                <w:rFonts w:cs="David"/>
                <w:sz w:val="26"/>
                <w:szCs w:val="26"/>
                <w:rtl/>
              </w:rPr>
              <w:t>טלב אלסאנע</w:t>
            </w:r>
          </w:p>
          <w:p w:rsidR="00000000" w:rsidRDefault="004D1A3F">
            <w:pPr>
              <w:spacing w:line="360" w:lineRule="auto"/>
              <w:jc w:val="both"/>
              <w:rPr>
                <w:sz w:val="26"/>
                <w:szCs w:val="26"/>
                <w:rtl/>
              </w:rPr>
            </w:pPr>
            <w:r>
              <w:rPr>
                <w:rFonts w:cs="David"/>
                <w:sz w:val="26"/>
                <w:szCs w:val="26"/>
                <w:rtl/>
              </w:rPr>
              <w:t>ג'מאל זחאלקה</w:t>
            </w:r>
          </w:p>
          <w:p w:rsidR="00000000" w:rsidRDefault="004D1A3F">
            <w:pPr>
              <w:spacing w:after="120"/>
              <w:rPr>
                <w:rFonts w:cs="David"/>
                <w:sz w:val="26"/>
                <w:szCs w:val="26"/>
                <w:rtl/>
              </w:rPr>
            </w:pPr>
            <w:r>
              <w:rPr>
                <w:rFonts w:cs="David"/>
                <w:sz w:val="26"/>
                <w:szCs w:val="26"/>
                <w:rtl/>
              </w:rPr>
              <w:t>אבשלום וילן</w:t>
            </w:r>
          </w:p>
          <w:p w:rsidR="00000000" w:rsidRDefault="004D1A3F">
            <w:pPr>
              <w:spacing w:after="120"/>
              <w:rPr>
                <w:rFonts w:cs="David"/>
                <w:sz w:val="26"/>
                <w:szCs w:val="26"/>
                <w:rtl/>
              </w:rPr>
            </w:pPr>
            <w:r>
              <w:rPr>
                <w:rFonts w:cs="David"/>
                <w:sz w:val="26"/>
                <w:szCs w:val="26"/>
                <w:rtl/>
              </w:rPr>
              <w:t>גלעד  ארדן</w:t>
            </w:r>
          </w:p>
          <w:p w:rsidR="00000000" w:rsidRDefault="004D1A3F">
            <w:pPr>
              <w:spacing w:after="120"/>
              <w:rPr>
                <w:rFonts w:cs="David"/>
                <w:sz w:val="26"/>
                <w:szCs w:val="26"/>
                <w:rtl/>
              </w:rPr>
            </w:pPr>
            <w:r>
              <w:rPr>
                <w:rFonts w:cs="David"/>
                <w:sz w:val="26"/>
                <w:szCs w:val="26"/>
                <w:rtl/>
              </w:rPr>
              <w:t>אריה אלדד</w:t>
            </w:r>
          </w:p>
          <w:p w:rsidR="00000000" w:rsidRDefault="004D1A3F">
            <w:pPr>
              <w:spacing w:after="120"/>
              <w:rPr>
                <w:rFonts w:cs="David"/>
                <w:sz w:val="26"/>
                <w:szCs w:val="26"/>
                <w:rtl/>
              </w:rPr>
            </w:pPr>
            <w:r>
              <w:rPr>
                <w:rFonts w:cs="David"/>
                <w:sz w:val="26"/>
                <w:szCs w:val="26"/>
                <w:rtl/>
              </w:rPr>
              <w:t>ישראל כץ</w:t>
            </w:r>
          </w:p>
          <w:p w:rsidR="00000000" w:rsidRDefault="004D1A3F">
            <w:pPr>
              <w:spacing w:after="120"/>
              <w:rPr>
                <w:rFonts w:cs="David"/>
                <w:sz w:val="26"/>
                <w:szCs w:val="26"/>
                <w:rtl/>
              </w:rPr>
            </w:pPr>
            <w:r>
              <w:rPr>
                <w:rFonts w:cs="David"/>
                <w:sz w:val="26"/>
                <w:szCs w:val="26"/>
                <w:rtl/>
              </w:rPr>
              <w:t>מתן וילנאי</w:t>
            </w:r>
          </w:p>
          <w:p w:rsidR="00000000" w:rsidRDefault="004D1A3F">
            <w:pPr>
              <w:spacing w:after="120"/>
              <w:rPr>
                <w:rFonts w:cs="David"/>
                <w:sz w:val="26"/>
                <w:szCs w:val="26"/>
                <w:rtl/>
              </w:rPr>
            </w:pPr>
            <w:r>
              <w:rPr>
                <w:rFonts w:cs="David"/>
                <w:sz w:val="26"/>
                <w:szCs w:val="26"/>
                <w:rtl/>
              </w:rPr>
              <w:t>עזמי בשארה</w:t>
            </w:r>
          </w:p>
          <w:p w:rsidR="00000000" w:rsidRDefault="004D1A3F">
            <w:pPr>
              <w:spacing w:after="120"/>
              <w:rPr>
                <w:rFonts w:cs="David"/>
                <w:sz w:val="26"/>
                <w:szCs w:val="26"/>
                <w:rtl/>
              </w:rPr>
            </w:pPr>
            <w:r>
              <w:rPr>
                <w:rFonts w:cs="David"/>
                <w:sz w:val="26"/>
                <w:szCs w:val="26"/>
                <w:rtl/>
              </w:rPr>
              <w:t>גדעון סער</w:t>
            </w:r>
          </w:p>
          <w:p w:rsidR="00000000" w:rsidRDefault="004D1A3F">
            <w:pPr>
              <w:spacing w:after="120"/>
              <w:rPr>
                <w:rFonts w:cs="David"/>
                <w:sz w:val="26"/>
                <w:szCs w:val="26"/>
                <w:rtl/>
              </w:rPr>
            </w:pPr>
            <w:r>
              <w:rPr>
                <w:rFonts w:cs="David"/>
                <w:sz w:val="26"/>
                <w:szCs w:val="26"/>
                <w:rtl/>
              </w:rPr>
              <w:t>חיים אמסלם</w:t>
            </w:r>
          </w:p>
          <w:p w:rsidR="00000000" w:rsidRDefault="004D1A3F">
            <w:pPr>
              <w:spacing w:after="120"/>
              <w:rPr>
                <w:rFonts w:cs="David"/>
                <w:sz w:val="26"/>
                <w:szCs w:val="26"/>
                <w:rtl/>
              </w:rPr>
            </w:pPr>
            <w:r>
              <w:rPr>
                <w:rFonts w:cs="David"/>
                <w:sz w:val="26"/>
                <w:szCs w:val="26"/>
                <w:rtl/>
              </w:rPr>
              <w:t>צ</w:t>
            </w:r>
            <w:r>
              <w:rPr>
                <w:rFonts w:cs="David"/>
                <w:sz w:val="26"/>
                <w:szCs w:val="26"/>
                <w:rtl/>
              </w:rPr>
              <w:t>חי הנגבי</w:t>
            </w:r>
          </w:p>
          <w:p w:rsidR="00000000" w:rsidRDefault="004D1A3F">
            <w:pPr>
              <w:spacing w:after="120"/>
              <w:rPr>
                <w:rFonts w:cs="David"/>
                <w:sz w:val="26"/>
                <w:szCs w:val="26"/>
                <w:rtl/>
              </w:rPr>
            </w:pPr>
            <w:r>
              <w:rPr>
                <w:rFonts w:cs="David"/>
                <w:sz w:val="26"/>
                <w:szCs w:val="26"/>
                <w:rtl/>
              </w:rPr>
              <w:t>שלי יחימוביץ</w:t>
            </w:r>
          </w:p>
          <w:p w:rsidR="00000000" w:rsidRDefault="004D1A3F">
            <w:pPr>
              <w:spacing w:after="120"/>
              <w:rPr>
                <w:rFonts w:cs="David"/>
                <w:sz w:val="26"/>
                <w:szCs w:val="26"/>
                <w:rtl/>
              </w:rPr>
            </w:pPr>
            <w:r>
              <w:rPr>
                <w:rFonts w:cs="David"/>
                <w:sz w:val="26"/>
                <w:szCs w:val="26"/>
                <w:rtl/>
              </w:rPr>
              <w:t>צבי הנדל</w:t>
            </w:r>
          </w:p>
          <w:p w:rsidR="00000000" w:rsidRDefault="004D1A3F">
            <w:pPr>
              <w:spacing w:after="120"/>
              <w:rPr>
                <w:rFonts w:cs="David"/>
                <w:sz w:val="26"/>
                <w:szCs w:val="26"/>
                <w:rtl/>
              </w:rPr>
            </w:pPr>
            <w:r>
              <w:rPr>
                <w:rFonts w:cs="David"/>
                <w:sz w:val="26"/>
                <w:szCs w:val="26"/>
                <w:rtl/>
              </w:rPr>
              <w:t>בנימין אלון</w:t>
            </w:r>
          </w:p>
          <w:p w:rsidR="00000000" w:rsidRDefault="004D1A3F">
            <w:pPr>
              <w:spacing w:after="120"/>
              <w:rPr>
                <w:rFonts w:cs="David"/>
                <w:sz w:val="26"/>
                <w:szCs w:val="26"/>
                <w:rtl/>
              </w:rPr>
            </w:pPr>
            <w:r>
              <w:rPr>
                <w:rFonts w:cs="David"/>
                <w:sz w:val="26"/>
                <w:szCs w:val="26"/>
                <w:rtl/>
              </w:rPr>
              <w:t>אורי  אריאל</w:t>
            </w:r>
          </w:p>
          <w:p w:rsidR="00000000" w:rsidRDefault="004D1A3F">
            <w:pPr>
              <w:spacing w:after="120"/>
              <w:rPr>
                <w:rFonts w:cs="David"/>
                <w:sz w:val="26"/>
                <w:szCs w:val="26"/>
                <w:rtl/>
              </w:rPr>
            </w:pPr>
            <w:r>
              <w:rPr>
                <w:rFonts w:cs="David"/>
                <w:sz w:val="26"/>
                <w:szCs w:val="26"/>
                <w:rtl/>
              </w:rPr>
              <w:t>ניסן סלומינסקי</w:t>
            </w:r>
          </w:p>
          <w:p w:rsidR="00000000" w:rsidRDefault="004D1A3F">
            <w:pPr>
              <w:spacing w:after="120"/>
              <w:rPr>
                <w:rFonts w:cs="David"/>
                <w:sz w:val="26"/>
                <w:szCs w:val="26"/>
                <w:rtl/>
              </w:rPr>
            </w:pPr>
            <w:r>
              <w:rPr>
                <w:rFonts w:cs="David"/>
                <w:sz w:val="26"/>
                <w:szCs w:val="26"/>
                <w:rtl/>
              </w:rPr>
              <w:t>שלמה בניזרי</w:t>
            </w:r>
          </w:p>
          <w:p w:rsidR="00000000" w:rsidRDefault="004D1A3F">
            <w:pPr>
              <w:spacing w:after="120"/>
              <w:rPr>
                <w:rFonts w:cs="David"/>
                <w:sz w:val="26"/>
                <w:szCs w:val="26"/>
                <w:rtl/>
              </w:rPr>
            </w:pPr>
            <w:r>
              <w:rPr>
                <w:rFonts w:cs="David"/>
                <w:sz w:val="26"/>
                <w:szCs w:val="26"/>
                <w:rtl/>
              </w:rPr>
              <w:t>אבישי ברוורמן</w:t>
            </w:r>
          </w:p>
          <w:p w:rsidR="00000000" w:rsidRDefault="004D1A3F">
            <w:pPr>
              <w:spacing w:after="120"/>
              <w:rPr>
                <w:rFonts w:cs="David"/>
                <w:sz w:val="26"/>
                <w:szCs w:val="26"/>
                <w:rtl/>
              </w:rPr>
            </w:pPr>
            <w:r>
              <w:rPr>
                <w:rFonts w:cs="David"/>
                <w:sz w:val="26"/>
                <w:szCs w:val="26"/>
                <w:rtl/>
              </w:rPr>
              <w:t>אופיר פינס-פז</w:t>
            </w:r>
          </w:p>
          <w:p w:rsidR="00000000" w:rsidRDefault="004D1A3F">
            <w:pPr>
              <w:spacing w:after="120"/>
              <w:rPr>
                <w:rFonts w:cs="David"/>
                <w:sz w:val="26"/>
                <w:szCs w:val="26"/>
                <w:rtl/>
              </w:rPr>
            </w:pPr>
            <w:r>
              <w:rPr>
                <w:rFonts w:cs="David"/>
                <w:sz w:val="26"/>
                <w:szCs w:val="26"/>
                <w:rtl/>
              </w:rPr>
              <w:t>לימור לבנת</w:t>
            </w: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val="restart"/>
            <w:tcBorders>
              <w:top w:val="nil"/>
              <w:left w:val="nil"/>
              <w:bottom w:val="nil"/>
              <w:right w:val="nil"/>
            </w:tcBorders>
          </w:tcPr>
          <w:p w:rsidR="00000000" w:rsidRDefault="004D1A3F">
            <w:pPr>
              <w:spacing w:after="120"/>
              <w:rPr>
                <w:rFonts w:cs="David"/>
                <w:sz w:val="26"/>
                <w:szCs w:val="26"/>
                <w:rtl/>
              </w:rPr>
            </w:pPr>
            <w:r>
              <w:rPr>
                <w:rFonts w:cs="David"/>
                <w:sz w:val="26"/>
                <w:szCs w:val="26"/>
                <w:rtl/>
              </w:rPr>
              <w:t>אביגדור יצחקי</w:t>
            </w:r>
          </w:p>
          <w:p w:rsidR="00000000" w:rsidRDefault="004D1A3F">
            <w:pPr>
              <w:spacing w:after="120"/>
              <w:rPr>
                <w:rFonts w:cs="David"/>
                <w:sz w:val="26"/>
                <w:szCs w:val="26"/>
                <w:rtl/>
              </w:rPr>
            </w:pPr>
            <w:r>
              <w:rPr>
                <w:rFonts w:cs="David"/>
                <w:sz w:val="26"/>
                <w:szCs w:val="26"/>
                <w:rtl/>
              </w:rPr>
              <w:t>אסתרינה טרטמן</w:t>
            </w:r>
          </w:p>
          <w:p w:rsidR="00000000" w:rsidRDefault="004D1A3F">
            <w:pPr>
              <w:spacing w:after="120"/>
              <w:rPr>
                <w:rFonts w:cs="David"/>
                <w:sz w:val="26"/>
                <w:szCs w:val="26"/>
                <w:rtl/>
              </w:rPr>
            </w:pPr>
            <w:r>
              <w:rPr>
                <w:rFonts w:cs="David"/>
                <w:sz w:val="26"/>
                <w:szCs w:val="26"/>
                <w:rtl/>
              </w:rPr>
              <w:t>יורם מרציאנו</w:t>
            </w:r>
          </w:p>
          <w:p w:rsidR="00000000" w:rsidRDefault="004D1A3F">
            <w:pPr>
              <w:spacing w:after="120"/>
              <w:rPr>
                <w:rFonts w:cs="David"/>
                <w:sz w:val="26"/>
                <w:szCs w:val="26"/>
                <w:rtl/>
              </w:rPr>
            </w:pPr>
            <w:r>
              <w:rPr>
                <w:rFonts w:cs="David"/>
                <w:sz w:val="26"/>
                <w:szCs w:val="26"/>
                <w:rtl/>
              </w:rPr>
              <w:t>יעקב מרגי</w:t>
            </w:r>
          </w:p>
          <w:p w:rsidR="00000000" w:rsidRDefault="004D1A3F">
            <w:pPr>
              <w:spacing w:after="120"/>
              <w:rPr>
                <w:rFonts w:cs="David"/>
                <w:sz w:val="26"/>
                <w:szCs w:val="26"/>
                <w:rtl/>
              </w:rPr>
            </w:pPr>
            <w:r>
              <w:rPr>
                <w:rFonts w:cs="David"/>
                <w:sz w:val="26"/>
                <w:szCs w:val="26"/>
                <w:rtl/>
              </w:rPr>
              <w:t>סילבן שלום</w:t>
            </w:r>
          </w:p>
          <w:p w:rsidR="00000000" w:rsidRDefault="004D1A3F">
            <w:pPr>
              <w:spacing w:after="120"/>
              <w:rPr>
                <w:rFonts w:cs="David"/>
                <w:sz w:val="26"/>
                <w:szCs w:val="26"/>
                <w:rtl/>
              </w:rPr>
            </w:pPr>
            <w:r>
              <w:rPr>
                <w:rFonts w:cs="David"/>
                <w:sz w:val="26"/>
                <w:szCs w:val="26"/>
                <w:rtl/>
              </w:rPr>
              <w:t>עמירה דותן</w:t>
            </w:r>
          </w:p>
          <w:p w:rsidR="00000000" w:rsidRDefault="004D1A3F">
            <w:pPr>
              <w:spacing w:after="120"/>
              <w:rPr>
                <w:rFonts w:cs="David"/>
                <w:sz w:val="26"/>
                <w:szCs w:val="26"/>
                <w:rtl/>
              </w:rPr>
            </w:pPr>
            <w:r>
              <w:rPr>
                <w:rFonts w:cs="David"/>
                <w:sz w:val="26"/>
                <w:szCs w:val="26"/>
                <w:rtl/>
              </w:rPr>
              <w:t>יואל חסון</w:t>
            </w:r>
          </w:p>
          <w:p w:rsidR="00000000" w:rsidRDefault="004D1A3F">
            <w:pPr>
              <w:spacing w:after="120"/>
              <w:rPr>
                <w:rFonts w:cs="David"/>
                <w:sz w:val="26"/>
                <w:szCs w:val="26"/>
                <w:rtl/>
              </w:rPr>
            </w:pPr>
            <w:r>
              <w:rPr>
                <w:rFonts w:cs="David"/>
                <w:sz w:val="26"/>
                <w:szCs w:val="26"/>
                <w:rtl/>
              </w:rPr>
              <w:t>קולט אביטל</w:t>
            </w:r>
          </w:p>
          <w:p w:rsidR="00000000" w:rsidRDefault="004D1A3F">
            <w:pPr>
              <w:spacing w:after="120"/>
              <w:rPr>
                <w:rFonts w:cs="David"/>
                <w:sz w:val="26"/>
                <w:szCs w:val="26"/>
                <w:rtl/>
              </w:rPr>
            </w:pPr>
            <w:r>
              <w:rPr>
                <w:rFonts w:cs="David"/>
                <w:sz w:val="26"/>
                <w:szCs w:val="26"/>
                <w:rtl/>
              </w:rPr>
              <w:t>מיכאל מלכיאור</w:t>
            </w:r>
          </w:p>
          <w:p w:rsidR="00000000" w:rsidRDefault="004D1A3F">
            <w:pPr>
              <w:spacing w:after="120"/>
              <w:rPr>
                <w:rFonts w:cs="David"/>
                <w:sz w:val="26"/>
                <w:szCs w:val="26"/>
                <w:rtl/>
              </w:rPr>
            </w:pPr>
            <w:r>
              <w:rPr>
                <w:rFonts w:cs="David"/>
                <w:sz w:val="26"/>
                <w:szCs w:val="26"/>
                <w:rtl/>
              </w:rPr>
              <w:t>שלמה ברזניץ</w:t>
            </w:r>
          </w:p>
          <w:p w:rsidR="00000000" w:rsidRDefault="004D1A3F">
            <w:pPr>
              <w:spacing w:after="120"/>
              <w:rPr>
                <w:rFonts w:cs="David"/>
                <w:sz w:val="26"/>
                <w:szCs w:val="26"/>
                <w:rtl/>
              </w:rPr>
            </w:pPr>
            <w:r>
              <w:rPr>
                <w:rFonts w:cs="David"/>
                <w:sz w:val="26"/>
                <w:szCs w:val="26"/>
                <w:rtl/>
              </w:rPr>
              <w:t>רוחמה אברהם</w:t>
            </w:r>
          </w:p>
          <w:p w:rsidR="00000000" w:rsidRDefault="004D1A3F">
            <w:pPr>
              <w:spacing w:after="120"/>
              <w:rPr>
                <w:rFonts w:cs="David"/>
                <w:sz w:val="26"/>
                <w:szCs w:val="26"/>
                <w:rtl/>
              </w:rPr>
            </w:pPr>
            <w:r>
              <w:rPr>
                <w:rFonts w:cs="David"/>
                <w:sz w:val="26"/>
                <w:szCs w:val="26"/>
                <w:rtl/>
              </w:rPr>
              <w:t>ד</w:t>
            </w:r>
            <w:r>
              <w:rPr>
                <w:rFonts w:cs="David"/>
                <w:sz w:val="26"/>
                <w:szCs w:val="26"/>
                <w:rtl/>
              </w:rPr>
              <w:t>ב חנין</w:t>
            </w:r>
          </w:p>
          <w:p w:rsidR="00000000" w:rsidRDefault="004D1A3F">
            <w:pPr>
              <w:spacing w:after="120"/>
              <w:rPr>
                <w:rFonts w:cs="David"/>
                <w:sz w:val="26"/>
                <w:szCs w:val="26"/>
                <w:rtl/>
              </w:rPr>
            </w:pPr>
            <w:r>
              <w:rPr>
                <w:rFonts w:cs="David"/>
                <w:sz w:val="26"/>
                <w:szCs w:val="26"/>
                <w:rtl/>
              </w:rPr>
              <w:t>רוברט אילטוב</w:t>
            </w:r>
          </w:p>
          <w:p w:rsidR="00000000" w:rsidRDefault="004D1A3F">
            <w:pPr>
              <w:spacing w:after="120"/>
              <w:rPr>
                <w:rFonts w:cs="David"/>
                <w:sz w:val="26"/>
                <w:szCs w:val="26"/>
                <w:rtl/>
              </w:rPr>
            </w:pPr>
            <w:r>
              <w:rPr>
                <w:rFonts w:cs="David"/>
                <w:sz w:val="26"/>
                <w:szCs w:val="26"/>
                <w:rtl/>
              </w:rPr>
              <w:t>זאב אלקין</w:t>
            </w:r>
          </w:p>
          <w:p w:rsidR="00000000" w:rsidRDefault="004D1A3F">
            <w:pPr>
              <w:spacing w:line="360" w:lineRule="auto"/>
              <w:jc w:val="both"/>
              <w:rPr>
                <w:sz w:val="26"/>
                <w:szCs w:val="26"/>
                <w:rtl/>
              </w:rPr>
            </w:pPr>
            <w:r>
              <w:rPr>
                <w:rFonts w:cs="David"/>
                <w:sz w:val="26"/>
                <w:szCs w:val="26"/>
                <w:rtl/>
              </w:rPr>
              <w:t>אליהו גבאי</w:t>
            </w:r>
          </w:p>
          <w:p w:rsidR="00000000" w:rsidRDefault="004D1A3F">
            <w:pPr>
              <w:spacing w:after="120"/>
              <w:rPr>
                <w:rFonts w:cs="David"/>
                <w:sz w:val="26"/>
                <w:szCs w:val="26"/>
                <w:rtl/>
              </w:rPr>
            </w:pPr>
            <w:r>
              <w:rPr>
                <w:rFonts w:cs="David"/>
                <w:sz w:val="26"/>
                <w:szCs w:val="26"/>
                <w:rtl/>
              </w:rPr>
              <w:t>עבאס זכור</w:t>
            </w:r>
          </w:p>
          <w:p w:rsidR="00000000" w:rsidRDefault="004D1A3F">
            <w:pPr>
              <w:spacing w:after="120"/>
              <w:rPr>
                <w:rFonts w:cs="David"/>
                <w:sz w:val="26"/>
                <w:szCs w:val="26"/>
                <w:rtl/>
              </w:rPr>
            </w:pPr>
            <w:r>
              <w:rPr>
                <w:rFonts w:cs="David"/>
                <w:sz w:val="26"/>
                <w:szCs w:val="26"/>
                <w:rtl/>
              </w:rPr>
              <w:t>מגלי והבה</w:t>
            </w:r>
          </w:p>
          <w:p w:rsidR="00000000" w:rsidRDefault="004D1A3F">
            <w:pPr>
              <w:spacing w:after="120"/>
              <w:rPr>
                <w:rFonts w:cs="David"/>
                <w:sz w:val="26"/>
                <w:szCs w:val="26"/>
                <w:rtl/>
              </w:rPr>
            </w:pPr>
            <w:r>
              <w:rPr>
                <w:rFonts w:cs="David"/>
                <w:sz w:val="26"/>
                <w:szCs w:val="26"/>
                <w:rtl/>
              </w:rPr>
              <w:t>חנא סוייד</w:t>
            </w:r>
          </w:p>
          <w:p w:rsidR="00000000" w:rsidRDefault="004D1A3F">
            <w:pPr>
              <w:spacing w:after="120"/>
              <w:rPr>
                <w:rFonts w:cs="David"/>
                <w:sz w:val="26"/>
                <w:szCs w:val="26"/>
                <w:rtl/>
              </w:rPr>
            </w:pPr>
            <w:r>
              <w:rPr>
                <w:rFonts w:cs="David"/>
                <w:sz w:val="26"/>
                <w:szCs w:val="26"/>
                <w:rtl/>
              </w:rPr>
              <w:t>יצחק אהרונוביץ</w:t>
            </w:r>
          </w:p>
          <w:p w:rsidR="00000000" w:rsidRDefault="004D1A3F">
            <w:pPr>
              <w:spacing w:after="120"/>
              <w:rPr>
                <w:rFonts w:cs="David"/>
                <w:sz w:val="26"/>
                <w:szCs w:val="26"/>
                <w:rtl/>
              </w:rPr>
            </w:pPr>
            <w:r>
              <w:rPr>
                <w:rFonts w:cs="David"/>
                <w:sz w:val="26"/>
                <w:szCs w:val="26"/>
                <w:rtl/>
              </w:rPr>
              <w:t>ישראל חסון</w:t>
            </w:r>
          </w:p>
          <w:p w:rsidR="00000000" w:rsidRDefault="004D1A3F">
            <w:pPr>
              <w:spacing w:after="120"/>
              <w:rPr>
                <w:rFonts w:cs="David"/>
                <w:sz w:val="26"/>
                <w:szCs w:val="26"/>
                <w:rtl/>
              </w:rPr>
            </w:pPr>
            <w:r>
              <w:rPr>
                <w:rFonts w:cs="David"/>
                <w:sz w:val="26"/>
                <w:szCs w:val="26"/>
                <w:rtl/>
              </w:rPr>
              <w:t>יוסף שגל</w:t>
            </w:r>
          </w:p>
          <w:p w:rsidR="00000000" w:rsidRDefault="004D1A3F">
            <w:pPr>
              <w:spacing w:after="120"/>
              <w:rPr>
                <w:rFonts w:cs="David"/>
                <w:sz w:val="26"/>
                <w:szCs w:val="26"/>
                <w:rtl/>
              </w:rPr>
            </w:pPr>
            <w:r>
              <w:rPr>
                <w:rFonts w:cs="David"/>
                <w:sz w:val="26"/>
                <w:szCs w:val="26"/>
                <w:rtl/>
              </w:rPr>
              <w:t>אלכס מילר</w:t>
            </w:r>
          </w:p>
          <w:p w:rsidR="00000000" w:rsidRDefault="004D1A3F">
            <w:pPr>
              <w:spacing w:after="120"/>
              <w:rPr>
                <w:rFonts w:cs="David"/>
                <w:sz w:val="26"/>
                <w:szCs w:val="26"/>
                <w:rtl/>
              </w:rPr>
            </w:pPr>
            <w:r>
              <w:rPr>
                <w:rFonts w:cs="David"/>
                <w:sz w:val="26"/>
                <w:szCs w:val="26"/>
                <w:rtl/>
              </w:rPr>
              <w:t>יורי שטרן</w:t>
            </w:r>
          </w:p>
          <w:p w:rsidR="00000000" w:rsidRDefault="004D1A3F">
            <w:pPr>
              <w:spacing w:after="120"/>
              <w:rPr>
                <w:rFonts w:cs="David"/>
                <w:sz w:val="26"/>
                <w:szCs w:val="26"/>
                <w:rtl/>
              </w:rPr>
            </w:pPr>
            <w:r>
              <w:rPr>
                <w:rFonts w:cs="David"/>
                <w:sz w:val="26"/>
                <w:szCs w:val="26"/>
                <w:rtl/>
              </w:rPr>
              <w:t>נסים זאב</w:t>
            </w:r>
          </w:p>
          <w:p w:rsidR="00000000" w:rsidRDefault="004D1A3F">
            <w:pPr>
              <w:spacing w:after="120"/>
              <w:rPr>
                <w:rFonts w:cs="David"/>
                <w:sz w:val="26"/>
                <w:szCs w:val="26"/>
                <w:rtl/>
              </w:rPr>
            </w:pPr>
            <w:r>
              <w:rPr>
                <w:rFonts w:cs="David"/>
                <w:sz w:val="26"/>
                <w:szCs w:val="26"/>
                <w:rtl/>
              </w:rPr>
              <w:t>סופה לנדבר</w:t>
            </w:r>
          </w:p>
          <w:p w:rsidR="00000000" w:rsidRDefault="004D1A3F">
            <w:pPr>
              <w:spacing w:after="120"/>
              <w:rPr>
                <w:rFonts w:cs="David"/>
                <w:sz w:val="26"/>
                <w:szCs w:val="26"/>
                <w:rtl/>
              </w:rPr>
            </w:pPr>
            <w:r>
              <w:rPr>
                <w:rFonts w:cs="David"/>
                <w:sz w:val="26"/>
                <w:szCs w:val="26"/>
                <w:rtl/>
              </w:rPr>
              <w:t>משה שרוני</w:t>
            </w:r>
          </w:p>
          <w:p w:rsidR="00000000" w:rsidRDefault="004D1A3F">
            <w:pPr>
              <w:spacing w:after="120"/>
              <w:rPr>
                <w:rFonts w:cs="David"/>
                <w:sz w:val="26"/>
                <w:szCs w:val="26"/>
                <w:rtl/>
              </w:rPr>
            </w:pPr>
            <w:r>
              <w:rPr>
                <w:rFonts w:cs="David"/>
                <w:sz w:val="26"/>
                <w:szCs w:val="26"/>
                <w:rtl/>
              </w:rPr>
              <w:t>אלחנן גלזר</w:t>
            </w: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nil"/>
              <w:right w:val="nil"/>
            </w:tcBorders>
          </w:tcPr>
          <w:p w:rsidR="00000000" w:rsidRDefault="004D1A3F">
            <w:pPr>
              <w:spacing w:line="360" w:lineRule="auto"/>
              <w:jc w:val="both"/>
              <w:rPr>
                <w:sz w:val="26"/>
                <w:szCs w:val="26"/>
                <w:rtl/>
              </w:rPr>
            </w:pPr>
          </w:p>
        </w:tc>
        <w:tc>
          <w:tcPr>
            <w:tcW w:w="1923" w:type="dxa"/>
            <w:vMerge/>
            <w:tcBorders>
              <w:top w:val="nil"/>
              <w:left w:val="nil"/>
              <w:bottom w:val="nil"/>
              <w:right w:val="nil"/>
            </w:tcBorders>
          </w:tcPr>
          <w:p w:rsidR="00000000" w:rsidRDefault="004D1A3F">
            <w:pPr>
              <w:spacing w:line="360" w:lineRule="auto"/>
              <w:jc w:val="both"/>
              <w:rPr>
                <w:sz w:val="26"/>
                <w:szCs w:val="26"/>
                <w:rtl/>
              </w:rPr>
            </w:pPr>
          </w:p>
        </w:tc>
        <w:tc>
          <w:tcPr>
            <w:tcW w:w="1887" w:type="dxa"/>
            <w:vMerge/>
            <w:tcBorders>
              <w:top w:val="nil"/>
              <w:left w:val="nil"/>
              <w:bottom w:val="nil"/>
              <w:right w:val="nil"/>
            </w:tcBorders>
          </w:tcPr>
          <w:p w:rsidR="00000000" w:rsidRDefault="004D1A3F">
            <w:pPr>
              <w:spacing w:line="360" w:lineRule="auto"/>
              <w:jc w:val="both"/>
              <w:rPr>
                <w:sz w:val="26"/>
                <w:szCs w:val="26"/>
                <w:rtl/>
              </w:rPr>
            </w:pPr>
          </w:p>
        </w:tc>
        <w:tc>
          <w:tcPr>
            <w:tcW w:w="1815" w:type="dxa"/>
            <w:vMerge/>
            <w:tcBorders>
              <w:top w:val="nil"/>
              <w:left w:val="nil"/>
              <w:bottom w:val="nil"/>
              <w:right w:val="nil"/>
            </w:tcBorders>
          </w:tcPr>
          <w:p w:rsidR="00000000" w:rsidRDefault="004D1A3F">
            <w:pPr>
              <w:spacing w:line="360" w:lineRule="auto"/>
              <w:jc w:val="both"/>
              <w:rPr>
                <w:sz w:val="26"/>
                <w:szCs w:val="26"/>
                <w:rtl/>
              </w:rPr>
            </w:pPr>
          </w:p>
        </w:tc>
      </w:tr>
      <w:tr w:rsidR="00000000">
        <w:trPr>
          <w:cantSplit/>
        </w:trPr>
        <w:tc>
          <w:tcPr>
            <w:tcW w:w="2835" w:type="dxa"/>
            <w:tcBorders>
              <w:top w:val="nil"/>
              <w:left w:val="nil"/>
              <w:bottom w:val="single" w:sz="4" w:space="0" w:color="auto"/>
              <w:right w:val="nil"/>
            </w:tcBorders>
          </w:tcPr>
          <w:p w:rsidR="00000000" w:rsidRDefault="004D1A3F">
            <w:pPr>
              <w:spacing w:line="360" w:lineRule="auto"/>
              <w:jc w:val="both"/>
              <w:rPr>
                <w:sz w:val="26"/>
                <w:szCs w:val="26"/>
                <w:rtl/>
              </w:rPr>
            </w:pPr>
          </w:p>
        </w:tc>
        <w:tc>
          <w:tcPr>
            <w:tcW w:w="1923" w:type="dxa"/>
            <w:vMerge/>
            <w:tcBorders>
              <w:top w:val="nil"/>
              <w:left w:val="nil"/>
              <w:bottom w:val="single" w:sz="4" w:space="0" w:color="auto"/>
              <w:right w:val="nil"/>
            </w:tcBorders>
          </w:tcPr>
          <w:p w:rsidR="00000000" w:rsidRDefault="004D1A3F">
            <w:pPr>
              <w:spacing w:line="360" w:lineRule="auto"/>
              <w:jc w:val="both"/>
              <w:rPr>
                <w:sz w:val="26"/>
                <w:szCs w:val="26"/>
                <w:rtl/>
              </w:rPr>
            </w:pPr>
          </w:p>
        </w:tc>
        <w:tc>
          <w:tcPr>
            <w:tcW w:w="1887" w:type="dxa"/>
            <w:vMerge/>
            <w:tcBorders>
              <w:top w:val="nil"/>
              <w:left w:val="nil"/>
              <w:bottom w:val="single" w:sz="4" w:space="0" w:color="auto"/>
              <w:right w:val="nil"/>
            </w:tcBorders>
          </w:tcPr>
          <w:p w:rsidR="00000000" w:rsidRDefault="004D1A3F">
            <w:pPr>
              <w:spacing w:line="360" w:lineRule="auto"/>
              <w:jc w:val="both"/>
              <w:rPr>
                <w:sz w:val="26"/>
                <w:szCs w:val="26"/>
                <w:rtl/>
              </w:rPr>
            </w:pPr>
          </w:p>
        </w:tc>
        <w:tc>
          <w:tcPr>
            <w:tcW w:w="1815" w:type="dxa"/>
            <w:vMerge/>
            <w:tcBorders>
              <w:top w:val="nil"/>
              <w:left w:val="nil"/>
              <w:bottom w:val="single" w:sz="4" w:space="0" w:color="auto"/>
              <w:right w:val="nil"/>
            </w:tcBorders>
          </w:tcPr>
          <w:p w:rsidR="00000000" w:rsidRDefault="004D1A3F">
            <w:pPr>
              <w:spacing w:line="360" w:lineRule="auto"/>
              <w:jc w:val="both"/>
              <w:rPr>
                <w:sz w:val="26"/>
                <w:szCs w:val="26"/>
                <w:rtl/>
              </w:rPr>
            </w:pPr>
          </w:p>
        </w:tc>
      </w:tr>
    </w:tbl>
    <w:p w:rsidR="00000000" w:rsidRDefault="004D1A3F">
      <w:pPr>
        <w:ind w:left="5760"/>
        <w:rPr>
          <w:rFonts w:cs="David"/>
          <w:sz w:val="26"/>
          <w:szCs w:val="26"/>
          <w:rtl/>
        </w:rPr>
      </w:pPr>
      <w:r>
        <w:rPr>
          <w:rFonts w:cs="David"/>
          <w:sz w:val="26"/>
          <w:szCs w:val="26"/>
          <w:rtl/>
        </w:rPr>
        <w:t>פ/1979/17</w:t>
      </w:r>
    </w:p>
    <w:p w:rsidR="00000000" w:rsidRDefault="004D1A3F">
      <w:pPr>
        <w:rPr>
          <w:rFonts w:cs="David"/>
          <w:sz w:val="32"/>
          <w:szCs w:val="32"/>
          <w:rtl/>
        </w:rPr>
      </w:pPr>
    </w:p>
    <w:p w:rsidR="00000000" w:rsidRDefault="004D1A3F">
      <w:pPr>
        <w:pStyle w:val="HeadHatzaotHok"/>
        <w:rPr>
          <w:rFonts w:cs="David"/>
          <w:sz w:val="26"/>
          <w:rtl/>
        </w:rPr>
      </w:pPr>
      <w:r>
        <w:rPr>
          <w:rFonts w:cs="David"/>
          <w:sz w:val="26"/>
          <w:rtl/>
        </w:rPr>
        <w:lastRenderedPageBreak/>
        <w:t xml:space="preserve">הצעת חוק </w:t>
      </w:r>
      <w:bookmarkStart w:id="2" w:name="Title"/>
      <w:r>
        <w:rPr>
          <w:rFonts w:cs="David"/>
          <w:sz w:val="26"/>
          <w:rtl/>
        </w:rPr>
        <w:t>הצעת חוק המדיניות הכלכלית לשנת הכספים 2004 (תיקוני חקיקה) (תוכנית מהל"ב), התשס"ז-2007</w:t>
      </w:r>
      <w:bookmarkEnd w:id="2"/>
    </w:p>
    <w:tbl>
      <w:tblPr>
        <w:bidiVisual/>
        <w:tblW w:w="10086" w:type="dxa"/>
        <w:tblInd w:w="300" w:type="dxa"/>
        <w:tblLayout w:type="fixed"/>
        <w:tblLook w:val="0000" w:firstRow="0" w:lastRow="0" w:firstColumn="0" w:lastColumn="0" w:noHBand="0" w:noVBand="0"/>
      </w:tblPr>
      <w:tblGrid>
        <w:gridCol w:w="920"/>
        <w:gridCol w:w="493"/>
        <w:gridCol w:w="1"/>
        <w:gridCol w:w="921"/>
        <w:gridCol w:w="1"/>
        <w:gridCol w:w="493"/>
        <w:gridCol w:w="308"/>
        <w:gridCol w:w="1187"/>
        <w:gridCol w:w="1"/>
        <w:gridCol w:w="649"/>
        <w:gridCol w:w="245"/>
        <w:gridCol w:w="484"/>
        <w:gridCol w:w="174"/>
        <w:gridCol w:w="4209"/>
      </w:tblGrid>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37</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1. </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המדיניות הכלכלית לשנת הכספים 2004 (תיקוני חקיקה), התשס"ד-2004</w:t>
            </w:r>
            <w:r>
              <w:rPr>
                <w:rStyle w:val="a7"/>
                <w:rFonts w:cs="David"/>
                <w:sz w:val="26"/>
                <w:szCs w:val="26"/>
                <w:rtl/>
              </w:rPr>
              <w:footnoteReference w:id="2"/>
            </w:r>
            <w:r>
              <w:rPr>
                <w:rFonts w:cs="David"/>
                <w:sz w:val="26"/>
                <w:szCs w:val="26"/>
                <w:rtl/>
              </w:rPr>
              <w:t xml:space="preserve"> (להלן –</w:t>
            </w:r>
            <w:r>
              <w:rPr>
                <w:rFonts w:cs="David"/>
                <w:sz w:val="26"/>
                <w:szCs w:val="26"/>
                <w:rtl/>
              </w:rPr>
              <w:t xml:space="preserve"> החוק העיקרי), בסעיף 37, בהגדרה "משתתף" - </w:t>
            </w:r>
          </w:p>
        </w:tc>
      </w:tr>
      <w:tr w:rsidR="00000000">
        <w:trPr>
          <w:trHeight w:val="738"/>
        </w:trPr>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Pr>
            </w:pPr>
            <w:r>
              <w:rPr>
                <w:rFonts w:cs="David"/>
                <w:sz w:val="26"/>
                <w:szCs w:val="26"/>
                <w:rtl/>
              </w:rPr>
              <w:t>(א)</w:t>
            </w:r>
          </w:p>
        </w:tc>
        <w:tc>
          <w:tcPr>
            <w:tcW w:w="7832" w:type="dxa"/>
            <w:gridSpan w:val="9"/>
            <w:tcBorders>
              <w:top w:val="nil"/>
              <w:left w:val="nil"/>
              <w:bottom w:val="nil"/>
              <w:right w:val="nil"/>
            </w:tcBorders>
          </w:tcPr>
          <w:p w:rsidR="00000000" w:rsidRDefault="004D1A3F">
            <w:pPr>
              <w:spacing w:line="360" w:lineRule="auto"/>
              <w:ind w:right="720"/>
              <w:jc w:val="both"/>
              <w:rPr>
                <w:rFonts w:cs="David"/>
                <w:sz w:val="26"/>
                <w:szCs w:val="26"/>
                <w:rtl/>
              </w:rPr>
            </w:pPr>
            <w:r>
              <w:rPr>
                <w:rFonts w:cs="David"/>
                <w:sz w:val="26"/>
                <w:szCs w:val="26"/>
                <w:rtl/>
              </w:rPr>
              <w:t xml:space="preserve">בסופו יבוא "ובלבד שלא מתקיים בו אחד מאלה, אלא אם הביע רצונו בכתב להשתתף בתוכנית - </w:t>
            </w:r>
          </w:p>
        </w:tc>
      </w:tr>
      <w:tr w:rsidR="00000000">
        <w:tc>
          <w:tcPr>
            <w:tcW w:w="1053" w:type="dxa"/>
            <w:tcBorders>
              <w:top w:val="nil"/>
              <w:left w:val="nil"/>
              <w:bottom w:val="nil"/>
              <w:right w:val="nil"/>
            </w:tcBorders>
          </w:tcPr>
          <w:p w:rsidR="00000000" w:rsidRDefault="004D1A3F">
            <w:pPr>
              <w:rPr>
                <w:rFonts w:cs="David"/>
                <w:sz w:val="26"/>
                <w:szCs w:val="26"/>
                <w:highlight w:val="yellow"/>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p>
        </w:tc>
        <w:tc>
          <w:tcPr>
            <w:tcW w:w="7832" w:type="dxa"/>
            <w:gridSpan w:val="9"/>
            <w:tcBorders>
              <w:top w:val="nil"/>
              <w:left w:val="nil"/>
              <w:bottom w:val="nil"/>
              <w:right w:val="nil"/>
            </w:tcBorders>
          </w:tcPr>
          <w:p w:rsidR="00000000" w:rsidRDefault="004D1A3F">
            <w:pPr>
              <w:spacing w:line="360" w:lineRule="auto"/>
              <w:ind w:left="923"/>
              <w:jc w:val="both"/>
              <w:rPr>
                <w:rFonts w:cs="David"/>
                <w:sz w:val="26"/>
                <w:szCs w:val="26"/>
              </w:rPr>
            </w:pPr>
            <w:r>
              <w:rPr>
                <w:rFonts w:cs="David"/>
                <w:sz w:val="26"/>
                <w:szCs w:val="26"/>
                <w:rtl/>
              </w:rPr>
              <w:t>(א) גילו מעל 45;</w:t>
            </w:r>
          </w:p>
          <w:p w:rsidR="00000000" w:rsidRDefault="004D1A3F">
            <w:pPr>
              <w:spacing w:line="360" w:lineRule="auto"/>
              <w:ind w:left="923"/>
              <w:jc w:val="both"/>
              <w:rPr>
                <w:rFonts w:cs="David"/>
                <w:sz w:val="26"/>
                <w:szCs w:val="26"/>
                <w:rtl/>
              </w:rPr>
            </w:pPr>
            <w:r>
              <w:rPr>
                <w:rFonts w:cs="David"/>
                <w:sz w:val="26"/>
                <w:szCs w:val="26"/>
                <w:rtl/>
              </w:rPr>
              <w:t>(ב) הוא "הורה יחיד" כהגדרתו בחוק הבטחת הכנסה, התשמ"א-1980</w:t>
            </w:r>
            <w:r>
              <w:rPr>
                <w:rStyle w:val="a7"/>
                <w:rFonts w:cs="David"/>
                <w:sz w:val="26"/>
                <w:szCs w:val="26"/>
              </w:rPr>
              <w:footnoteReference w:id="3"/>
            </w:r>
            <w:r>
              <w:rPr>
                <w:rFonts w:cs="David"/>
                <w:sz w:val="26"/>
                <w:szCs w:val="26"/>
                <w:rtl/>
              </w:rPr>
              <w:t>;</w:t>
            </w:r>
          </w:p>
          <w:p w:rsidR="00000000" w:rsidRDefault="004D1A3F">
            <w:pPr>
              <w:spacing w:line="360" w:lineRule="auto"/>
              <w:ind w:left="923"/>
              <w:jc w:val="both"/>
              <w:rPr>
                <w:rFonts w:cs="David"/>
                <w:sz w:val="26"/>
                <w:szCs w:val="26"/>
              </w:rPr>
            </w:pPr>
            <w:r>
              <w:rPr>
                <w:rFonts w:cs="David"/>
                <w:sz w:val="26"/>
                <w:szCs w:val="26"/>
                <w:rtl/>
              </w:rPr>
              <w:t>(ג) הוא עובד  10 שע</w:t>
            </w:r>
            <w:r>
              <w:rPr>
                <w:rFonts w:cs="David"/>
                <w:sz w:val="26"/>
                <w:szCs w:val="26"/>
                <w:rtl/>
              </w:rPr>
              <w:t>ות בשבוע ויותר;</w:t>
            </w:r>
          </w:p>
          <w:p w:rsidR="00000000" w:rsidRDefault="004D1A3F">
            <w:pPr>
              <w:spacing w:line="360" w:lineRule="auto"/>
              <w:ind w:left="923"/>
              <w:jc w:val="both"/>
              <w:rPr>
                <w:rFonts w:cs="David"/>
                <w:sz w:val="26"/>
                <w:szCs w:val="26"/>
              </w:rPr>
            </w:pPr>
            <w:r>
              <w:rPr>
                <w:rFonts w:cs="David"/>
                <w:sz w:val="26"/>
                <w:szCs w:val="26"/>
                <w:rtl/>
              </w:rPr>
              <w:t>(ד) בן זוגו משתתף בתכנית ויש עמם ילד, כהגדרתו בחוק הבטחת הכנסה; התשמ"א-1980</w:t>
            </w:r>
            <w:r>
              <w:rPr>
                <w:rStyle w:val="a7"/>
                <w:rFonts w:cs="David"/>
                <w:sz w:val="26"/>
                <w:szCs w:val="26"/>
              </w:rPr>
              <w:footnoteReference w:id="4"/>
            </w:r>
            <w:r>
              <w:rPr>
                <w:rFonts w:cs="David"/>
                <w:sz w:val="26"/>
                <w:szCs w:val="26"/>
                <w:rtl/>
              </w:rPr>
              <w:t>;</w:t>
            </w:r>
          </w:p>
          <w:p w:rsidR="00000000" w:rsidRDefault="004D1A3F">
            <w:pPr>
              <w:spacing w:line="360" w:lineRule="auto"/>
              <w:ind w:left="923"/>
              <w:jc w:val="both"/>
              <w:rPr>
                <w:rFonts w:cs="David"/>
                <w:color w:val="000000"/>
                <w:sz w:val="26"/>
                <w:szCs w:val="26"/>
                <w:rtl/>
              </w:rPr>
            </w:pPr>
            <w:r>
              <w:rPr>
                <w:rFonts w:cs="David"/>
                <w:color w:val="000000"/>
                <w:sz w:val="26"/>
                <w:szCs w:val="26"/>
                <w:rtl/>
              </w:rPr>
              <w:t>(ה) מי שוועדה לקביעת כושר עבודה של שירות התעסוקה קבעה כי הוא  אינו יכול להשתתף בתכנית."</w:t>
            </w:r>
          </w:p>
          <w:p w:rsidR="00000000" w:rsidRDefault="004D1A3F">
            <w:pPr>
              <w:spacing w:line="360" w:lineRule="auto"/>
              <w:ind w:left="923"/>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38</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2. </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העיקרי, בסעיף 38(ב), הסיפה</w:t>
            </w:r>
            <w:r>
              <w:rPr>
                <w:rFonts w:cs="David"/>
                <w:sz w:val="26"/>
                <w:szCs w:val="26"/>
                <w:rtl/>
              </w:rPr>
              <w:t xml:space="preserve"> המתחילה במילים "לענין זה, "תאגיד" – תימחק.</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הוספת סעיף 39א</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3. </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העיקרי, אחרי סעיף 39 יבוא:</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tcBorders>
              <w:top w:val="nil"/>
              <w:left w:val="nil"/>
              <w:bottom w:val="nil"/>
              <w:right w:val="nil"/>
            </w:tcBorders>
          </w:tcPr>
          <w:p w:rsidR="00000000" w:rsidRDefault="004D1A3F">
            <w:pPr>
              <w:pStyle w:val="2"/>
              <w:ind w:right="0"/>
              <w:jc w:val="left"/>
              <w:rPr>
                <w:rFonts w:cs="David"/>
                <w:sz w:val="26"/>
                <w:szCs w:val="26"/>
                <w:rtl/>
              </w:rPr>
            </w:pPr>
            <w:r>
              <w:rPr>
                <w:rFonts w:cs="David"/>
                <w:sz w:val="26"/>
                <w:szCs w:val="26"/>
                <w:rtl/>
              </w:rPr>
              <w:t>"עקרונות לתגמול תאגידים המפעילים מרכזי תעסוקה</w:t>
            </w:r>
          </w:p>
        </w:tc>
        <w:tc>
          <w:tcPr>
            <w:tcW w:w="728" w:type="dxa"/>
            <w:gridSpan w:val="2"/>
            <w:tcBorders>
              <w:top w:val="nil"/>
              <w:left w:val="nil"/>
              <w:bottom w:val="nil"/>
              <w:right w:val="nil"/>
            </w:tcBorders>
          </w:tcPr>
          <w:p w:rsidR="00000000" w:rsidRDefault="004D1A3F">
            <w:pPr>
              <w:pStyle w:val="2"/>
              <w:spacing w:line="360" w:lineRule="auto"/>
              <w:ind w:right="0"/>
              <w:rPr>
                <w:rFonts w:cs="David"/>
                <w:sz w:val="26"/>
                <w:szCs w:val="26"/>
                <w:rtl/>
              </w:rPr>
            </w:pPr>
            <w:r>
              <w:rPr>
                <w:rFonts w:cs="David"/>
                <w:sz w:val="26"/>
                <w:szCs w:val="26"/>
                <w:rtl/>
              </w:rPr>
              <w:t>39א.</w:t>
            </w:r>
          </w:p>
        </w:tc>
        <w:tc>
          <w:tcPr>
            <w:tcW w:w="1007"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(א) </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תאגיד המפעיל מרכז תעסוקה יתוגמל על ידי החזר הוצאותיו, וזאת בכדי לקדם את מטרתו של פרק זה, הקבוע בסעיף</w:t>
            </w:r>
            <w:r>
              <w:rPr>
                <w:rFonts w:cs="David"/>
                <w:sz w:val="26"/>
                <w:szCs w:val="26"/>
                <w:rtl/>
              </w:rPr>
              <w:t xml:space="preserve"> 36.</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pStyle w:val="2"/>
              <w:spacing w:line="360" w:lineRule="auto"/>
              <w:ind w:right="0"/>
              <w:jc w:val="left"/>
              <w:rPr>
                <w:rFonts w:cs="David"/>
                <w:sz w:val="26"/>
                <w:szCs w:val="26"/>
                <w:rtl/>
              </w:rPr>
            </w:pPr>
          </w:p>
        </w:tc>
        <w:tc>
          <w:tcPr>
            <w:tcW w:w="1736" w:type="dxa"/>
            <w:gridSpan w:val="5"/>
            <w:tcBorders>
              <w:top w:val="nil"/>
              <w:left w:val="nil"/>
              <w:bottom w:val="nil"/>
              <w:right w:val="nil"/>
            </w:tcBorders>
          </w:tcPr>
          <w:p w:rsidR="00000000" w:rsidRDefault="004D1A3F">
            <w:pPr>
              <w:pStyle w:val="2"/>
              <w:spacing w:line="360" w:lineRule="auto"/>
              <w:ind w:right="0"/>
              <w:rPr>
                <w:rFonts w:cs="David"/>
                <w:sz w:val="26"/>
                <w:szCs w:val="26"/>
                <w:rtl/>
              </w:rPr>
            </w:pPr>
          </w:p>
        </w:tc>
        <w:tc>
          <w:tcPr>
            <w:tcW w:w="728" w:type="dxa"/>
            <w:gridSpan w:val="2"/>
            <w:tcBorders>
              <w:top w:val="nil"/>
              <w:left w:val="nil"/>
              <w:bottom w:val="nil"/>
              <w:right w:val="nil"/>
            </w:tcBorders>
          </w:tcPr>
          <w:p w:rsidR="00000000" w:rsidRDefault="004D1A3F">
            <w:pPr>
              <w:pStyle w:val="2"/>
              <w:spacing w:line="360" w:lineRule="auto"/>
              <w:ind w:right="0"/>
              <w:rPr>
                <w:rFonts w:cs="David"/>
                <w:sz w:val="26"/>
                <w:szCs w:val="26"/>
                <w:rtl/>
              </w:rPr>
            </w:pPr>
          </w:p>
        </w:tc>
        <w:tc>
          <w:tcPr>
            <w:tcW w:w="1007" w:type="dxa"/>
            <w:gridSpan w:val="2"/>
            <w:tcBorders>
              <w:top w:val="nil"/>
              <w:left w:val="nil"/>
              <w:bottom w:val="nil"/>
              <w:right w:val="nil"/>
            </w:tcBorders>
          </w:tcPr>
          <w:p w:rsidR="00000000" w:rsidRDefault="004D1A3F">
            <w:pPr>
              <w:pStyle w:val="2"/>
              <w:spacing w:line="360" w:lineRule="auto"/>
              <w:ind w:right="0"/>
              <w:rPr>
                <w:rFonts w:cs="David"/>
                <w:sz w:val="26"/>
                <w:szCs w:val="26"/>
                <w:rtl/>
              </w:rPr>
            </w:pPr>
            <w:r>
              <w:rPr>
                <w:rFonts w:cs="David"/>
                <w:sz w:val="26"/>
                <w:szCs w:val="26"/>
                <w:rtl/>
              </w:rPr>
              <w:t>(ב)</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פעילות התאגיד תיבחן על פי איכות העבודה בה שולבו המשתתפים, ובכלל זה גובה השכר בעבודה, משך שהותם בעבודה, האופק התעסוקתי שבעבודה, ומתן המענה לקבוצות בעלות קשיים ייחודיים בשילוב במעגל העבודה.</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pStyle w:val="2"/>
              <w:spacing w:line="360" w:lineRule="auto"/>
              <w:ind w:right="0"/>
              <w:jc w:val="left"/>
              <w:rPr>
                <w:rFonts w:cs="David"/>
                <w:sz w:val="26"/>
                <w:szCs w:val="26"/>
                <w:rtl/>
              </w:rPr>
            </w:pPr>
          </w:p>
        </w:tc>
        <w:tc>
          <w:tcPr>
            <w:tcW w:w="1736" w:type="dxa"/>
            <w:gridSpan w:val="5"/>
            <w:tcBorders>
              <w:top w:val="nil"/>
              <w:left w:val="nil"/>
              <w:bottom w:val="nil"/>
              <w:right w:val="nil"/>
            </w:tcBorders>
          </w:tcPr>
          <w:p w:rsidR="00000000" w:rsidRDefault="004D1A3F">
            <w:pPr>
              <w:pStyle w:val="2"/>
              <w:spacing w:line="360" w:lineRule="auto"/>
              <w:ind w:right="0"/>
              <w:rPr>
                <w:rFonts w:cs="David"/>
                <w:sz w:val="26"/>
                <w:szCs w:val="26"/>
                <w:rtl/>
              </w:rPr>
            </w:pPr>
          </w:p>
        </w:tc>
        <w:tc>
          <w:tcPr>
            <w:tcW w:w="728" w:type="dxa"/>
            <w:gridSpan w:val="2"/>
            <w:tcBorders>
              <w:top w:val="nil"/>
              <w:left w:val="nil"/>
              <w:bottom w:val="nil"/>
              <w:right w:val="nil"/>
            </w:tcBorders>
          </w:tcPr>
          <w:p w:rsidR="00000000" w:rsidRDefault="004D1A3F">
            <w:pPr>
              <w:pStyle w:val="2"/>
              <w:spacing w:line="360" w:lineRule="auto"/>
              <w:ind w:right="0"/>
              <w:rPr>
                <w:rFonts w:cs="David"/>
                <w:sz w:val="26"/>
                <w:szCs w:val="26"/>
                <w:rtl/>
              </w:rPr>
            </w:pPr>
          </w:p>
        </w:tc>
        <w:tc>
          <w:tcPr>
            <w:tcW w:w="1007" w:type="dxa"/>
            <w:gridSpan w:val="2"/>
            <w:tcBorders>
              <w:top w:val="nil"/>
              <w:left w:val="nil"/>
              <w:bottom w:val="nil"/>
              <w:right w:val="nil"/>
            </w:tcBorders>
          </w:tcPr>
          <w:p w:rsidR="00000000" w:rsidRDefault="004D1A3F">
            <w:pPr>
              <w:pStyle w:val="2"/>
              <w:spacing w:line="360" w:lineRule="auto"/>
              <w:ind w:right="0"/>
              <w:rPr>
                <w:rFonts w:cs="David"/>
                <w:sz w:val="26"/>
                <w:szCs w:val="26"/>
                <w:rtl/>
              </w:rPr>
            </w:pPr>
            <w:r>
              <w:rPr>
                <w:rFonts w:cs="David"/>
                <w:sz w:val="26"/>
                <w:szCs w:val="26"/>
                <w:rtl/>
              </w:rPr>
              <w:t>(ג)</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תגמול התאגיד לא יונחה על ידי מספר המשתתפים שא</w:t>
            </w:r>
            <w:r>
              <w:rPr>
                <w:rFonts w:cs="David"/>
                <w:sz w:val="26"/>
                <w:szCs w:val="26"/>
                <w:rtl/>
              </w:rPr>
              <w:t>ינם זכאים לגמלה, ומבלי לגרוע מכלליות האמור בסעיף א, לא ישולם לתאגיד המפעיל מרכז תעסוקה תגמול שיש לו זיקה, ישירה או עקיפה, עם הפעלת סמכויותיו של מתכנן היעדים לפי סעיפים 45 ו- 53.</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pStyle w:val="2"/>
              <w:spacing w:line="360" w:lineRule="auto"/>
              <w:ind w:right="0"/>
              <w:jc w:val="left"/>
              <w:rPr>
                <w:rFonts w:cs="David"/>
                <w:sz w:val="26"/>
                <w:szCs w:val="26"/>
                <w:rtl/>
              </w:rPr>
            </w:pPr>
          </w:p>
        </w:tc>
        <w:tc>
          <w:tcPr>
            <w:tcW w:w="1736" w:type="dxa"/>
            <w:gridSpan w:val="5"/>
            <w:tcBorders>
              <w:top w:val="nil"/>
              <w:left w:val="nil"/>
              <w:bottom w:val="nil"/>
              <w:right w:val="nil"/>
            </w:tcBorders>
          </w:tcPr>
          <w:p w:rsidR="00000000" w:rsidRDefault="004D1A3F">
            <w:pPr>
              <w:pStyle w:val="2"/>
              <w:spacing w:line="360" w:lineRule="auto"/>
              <w:ind w:right="0"/>
              <w:rPr>
                <w:rFonts w:cs="David"/>
                <w:sz w:val="26"/>
                <w:szCs w:val="26"/>
                <w:rtl/>
              </w:rPr>
            </w:pPr>
          </w:p>
        </w:tc>
        <w:tc>
          <w:tcPr>
            <w:tcW w:w="728" w:type="dxa"/>
            <w:gridSpan w:val="2"/>
            <w:tcBorders>
              <w:top w:val="nil"/>
              <w:left w:val="nil"/>
              <w:bottom w:val="nil"/>
              <w:right w:val="nil"/>
            </w:tcBorders>
          </w:tcPr>
          <w:p w:rsidR="00000000" w:rsidRDefault="004D1A3F">
            <w:pPr>
              <w:pStyle w:val="2"/>
              <w:spacing w:line="360" w:lineRule="auto"/>
              <w:ind w:right="0"/>
              <w:rPr>
                <w:rFonts w:cs="David"/>
                <w:sz w:val="26"/>
                <w:szCs w:val="26"/>
                <w:rtl/>
              </w:rPr>
            </w:pPr>
          </w:p>
        </w:tc>
        <w:tc>
          <w:tcPr>
            <w:tcW w:w="1007" w:type="dxa"/>
            <w:gridSpan w:val="2"/>
            <w:tcBorders>
              <w:top w:val="nil"/>
              <w:left w:val="nil"/>
              <w:bottom w:val="nil"/>
              <w:right w:val="nil"/>
            </w:tcBorders>
          </w:tcPr>
          <w:p w:rsidR="00000000" w:rsidRDefault="004D1A3F">
            <w:pPr>
              <w:pStyle w:val="2"/>
              <w:spacing w:line="360" w:lineRule="auto"/>
              <w:ind w:right="0"/>
              <w:rPr>
                <w:rFonts w:cs="David"/>
                <w:sz w:val="26"/>
                <w:szCs w:val="26"/>
                <w:rtl/>
              </w:rPr>
            </w:pPr>
            <w:r>
              <w:rPr>
                <w:rFonts w:cs="David"/>
                <w:sz w:val="26"/>
                <w:szCs w:val="26"/>
                <w:rtl/>
              </w:rPr>
              <w:t>(ד)</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שיטת התגמול תובא לאישור ועדת העבודה, הרווחה והבריאות של הכנסת".</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הוס</w:t>
            </w:r>
            <w:r>
              <w:rPr>
                <w:rFonts w:cs="David"/>
                <w:sz w:val="26"/>
                <w:szCs w:val="26"/>
                <w:rtl/>
              </w:rPr>
              <w:t xml:space="preserve">פת סעיף 40א </w:t>
            </w:r>
          </w:p>
          <w:p w:rsidR="00000000" w:rsidRDefault="004D1A3F">
            <w:pPr>
              <w:rPr>
                <w:rFonts w:cs="David"/>
                <w:sz w:val="26"/>
                <w:szCs w:val="26"/>
                <w:highlight w:val="yellow"/>
                <w:rtl/>
              </w:rPr>
            </w:pP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4. </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העיקרי, אחרי סעיף 40 יבוא:</w:t>
            </w:r>
          </w:p>
        </w:tc>
      </w:tr>
      <w:tr w:rsidR="00000000">
        <w:trPr>
          <w:cantSplit/>
        </w:trPr>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vMerge w:val="restart"/>
            <w:tcBorders>
              <w:top w:val="nil"/>
              <w:left w:val="nil"/>
              <w:bottom w:val="nil"/>
              <w:right w:val="nil"/>
            </w:tcBorders>
          </w:tcPr>
          <w:p w:rsidR="00000000" w:rsidRDefault="004D1A3F">
            <w:pPr>
              <w:rPr>
                <w:rFonts w:cs="David"/>
                <w:sz w:val="26"/>
                <w:szCs w:val="26"/>
                <w:rtl/>
              </w:rPr>
            </w:pPr>
            <w:r>
              <w:rPr>
                <w:rFonts w:cs="David"/>
                <w:sz w:val="26"/>
                <w:szCs w:val="26"/>
                <w:rtl/>
              </w:rPr>
              <w:t>רופאים הפועלים במסגרת תוכניות לשילובם של מקבלי גמלאות בעבודה</w:t>
            </w:r>
          </w:p>
          <w:p w:rsidR="00000000" w:rsidRDefault="004D1A3F">
            <w:pPr>
              <w:tabs>
                <w:tab w:val="left" w:pos="444"/>
              </w:tabs>
              <w:ind w:right="360"/>
              <w:jc w:val="both"/>
              <w:rPr>
                <w:rFonts w:cs="David"/>
                <w:sz w:val="26"/>
                <w:szCs w:val="26"/>
                <w:rtl/>
              </w:rPr>
            </w:pPr>
          </w:p>
        </w:tc>
        <w:tc>
          <w:tcPr>
            <w:tcW w:w="72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40א.</w:t>
            </w:r>
          </w:p>
        </w:tc>
        <w:tc>
          <w:tcPr>
            <w:tcW w:w="1007"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(א)</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בכל מרכז תעסוקה יפעל רופא התוכנית, שתפקידו לחוות דעתו באשר להשמתו של משתתף בעבודה, בתוכנית אישית ובשירות בקהילה, המוצעים לו בהתאם לס</w:t>
            </w:r>
            <w:r>
              <w:rPr>
                <w:rFonts w:cs="David"/>
                <w:sz w:val="26"/>
                <w:szCs w:val="26"/>
                <w:rtl/>
              </w:rPr>
              <w:t>עיפים 41, 42, 44.</w:t>
            </w:r>
          </w:p>
        </w:tc>
      </w:tr>
      <w:tr w:rsidR="00000000">
        <w:trPr>
          <w:cantSplit/>
        </w:trPr>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vMerge/>
            <w:tcBorders>
              <w:top w:val="nil"/>
              <w:left w:val="nil"/>
              <w:bottom w:val="nil"/>
              <w:right w:val="nil"/>
            </w:tcBorders>
          </w:tcPr>
          <w:p w:rsidR="00000000" w:rsidRDefault="004D1A3F">
            <w:pPr>
              <w:jc w:val="both"/>
              <w:rPr>
                <w:rFonts w:cs="David"/>
                <w:sz w:val="26"/>
                <w:szCs w:val="26"/>
                <w:rtl/>
              </w:rPr>
            </w:pPr>
          </w:p>
        </w:tc>
        <w:tc>
          <w:tcPr>
            <w:tcW w:w="728" w:type="dxa"/>
            <w:gridSpan w:val="2"/>
            <w:tcBorders>
              <w:top w:val="nil"/>
              <w:left w:val="nil"/>
              <w:bottom w:val="nil"/>
              <w:right w:val="nil"/>
            </w:tcBorders>
          </w:tcPr>
          <w:p w:rsidR="00000000" w:rsidRDefault="004D1A3F">
            <w:pPr>
              <w:tabs>
                <w:tab w:val="left" w:pos="444"/>
              </w:tabs>
              <w:spacing w:line="360" w:lineRule="auto"/>
              <w:ind w:right="360"/>
              <w:jc w:val="both"/>
              <w:rPr>
                <w:rFonts w:cs="David"/>
                <w:sz w:val="26"/>
                <w:szCs w:val="26"/>
                <w:rtl/>
              </w:rPr>
            </w:pPr>
          </w:p>
        </w:tc>
        <w:tc>
          <w:tcPr>
            <w:tcW w:w="1007"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חוות הדעת תינתן בשים לב, בין היתר, לדרישות הגופניות המתחייבות בעבודה, תוכנית אישית ו/או שירות בקהילה וכן ולמצבו הבריאותי וכושרו הגופני של המשתתף. </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tcBorders>
              <w:top w:val="nil"/>
              <w:left w:val="nil"/>
              <w:bottom w:val="nil"/>
              <w:right w:val="nil"/>
            </w:tcBorders>
          </w:tcPr>
          <w:p w:rsidR="00000000" w:rsidRDefault="004D1A3F">
            <w:pPr>
              <w:spacing w:line="360" w:lineRule="auto"/>
              <w:jc w:val="both"/>
              <w:rPr>
                <w:rFonts w:cs="David"/>
                <w:sz w:val="26"/>
                <w:szCs w:val="26"/>
                <w:rtl/>
              </w:rPr>
            </w:pPr>
          </w:p>
        </w:tc>
        <w:tc>
          <w:tcPr>
            <w:tcW w:w="728" w:type="dxa"/>
            <w:gridSpan w:val="2"/>
            <w:tcBorders>
              <w:top w:val="nil"/>
              <w:left w:val="nil"/>
              <w:bottom w:val="nil"/>
              <w:right w:val="nil"/>
            </w:tcBorders>
          </w:tcPr>
          <w:p w:rsidR="00000000" w:rsidRDefault="004D1A3F">
            <w:pPr>
              <w:tabs>
                <w:tab w:val="left" w:pos="444"/>
              </w:tabs>
              <w:spacing w:line="360" w:lineRule="auto"/>
              <w:ind w:right="360"/>
              <w:jc w:val="both"/>
              <w:rPr>
                <w:rFonts w:cs="David"/>
                <w:sz w:val="26"/>
                <w:szCs w:val="26"/>
                <w:rtl/>
              </w:rPr>
            </w:pPr>
          </w:p>
        </w:tc>
        <w:tc>
          <w:tcPr>
            <w:tcW w:w="1007"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(ג)</w:t>
            </w:r>
          </w:p>
        </w:tc>
        <w:tc>
          <w:tcPr>
            <w:tcW w:w="5020"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רופא התוכנית יהיה עובד ציבור, המועסק על ידי שירות התעסוקה."</w:t>
            </w:r>
          </w:p>
        </w:tc>
      </w:tr>
      <w:tr w:rsidR="00000000">
        <w:trPr>
          <w:gridBefore w:val="3"/>
        </w:trPr>
        <w:tc>
          <w:tcPr>
            <w:tcW w:w="1053" w:type="dxa"/>
            <w:tcBorders>
              <w:top w:val="nil"/>
              <w:left w:val="nil"/>
              <w:bottom w:val="nil"/>
              <w:right w:val="nil"/>
            </w:tcBorders>
          </w:tcPr>
          <w:p w:rsidR="00000000" w:rsidRDefault="004D1A3F">
            <w:pPr>
              <w:rPr>
                <w:rFonts w:cs="David"/>
                <w:sz w:val="26"/>
                <w:szCs w:val="26"/>
                <w:highlight w:val="yellow"/>
                <w:rtl/>
              </w:rPr>
            </w:pPr>
          </w:p>
        </w:tc>
        <w:tc>
          <w:tcPr>
            <w:tcW w:w="542" w:type="dxa"/>
            <w:gridSpan w:val="2"/>
            <w:tcBorders>
              <w:top w:val="nil"/>
              <w:left w:val="nil"/>
              <w:bottom w:val="nil"/>
              <w:right w:val="nil"/>
            </w:tcBorders>
          </w:tcPr>
          <w:p w:rsidR="00000000" w:rsidRDefault="004D1A3F">
            <w:pPr>
              <w:spacing w:line="360" w:lineRule="auto"/>
              <w:rPr>
                <w:rFonts w:cs="David"/>
                <w:sz w:val="26"/>
                <w:szCs w:val="26"/>
                <w:highlight w:val="yellow"/>
                <w:rtl/>
              </w:rPr>
            </w:pPr>
          </w:p>
        </w:tc>
        <w:tc>
          <w:tcPr>
            <w:tcW w:w="1736" w:type="dxa"/>
            <w:gridSpan w:val="2"/>
            <w:tcBorders>
              <w:top w:val="nil"/>
              <w:left w:val="nil"/>
              <w:bottom w:val="nil"/>
              <w:right w:val="nil"/>
            </w:tcBorders>
          </w:tcPr>
          <w:p w:rsidR="00000000" w:rsidRDefault="004D1A3F">
            <w:pPr>
              <w:spacing w:line="360" w:lineRule="auto"/>
              <w:rPr>
                <w:rFonts w:cs="David"/>
                <w:sz w:val="26"/>
                <w:szCs w:val="26"/>
                <w:highlight w:val="yellow"/>
                <w:rtl/>
              </w:rPr>
            </w:pPr>
          </w:p>
        </w:tc>
        <w:tc>
          <w:tcPr>
            <w:tcW w:w="728" w:type="dxa"/>
            <w:gridSpan w:val="2"/>
            <w:tcBorders>
              <w:top w:val="nil"/>
              <w:left w:val="nil"/>
              <w:bottom w:val="nil"/>
              <w:right w:val="nil"/>
            </w:tcBorders>
          </w:tcPr>
          <w:p w:rsidR="00000000" w:rsidRDefault="004D1A3F">
            <w:pPr>
              <w:spacing w:line="360" w:lineRule="auto"/>
              <w:rPr>
                <w:rFonts w:cs="David"/>
                <w:sz w:val="26"/>
                <w:szCs w:val="26"/>
                <w:highlight w:val="yellow"/>
                <w:rtl/>
              </w:rPr>
            </w:pPr>
          </w:p>
        </w:tc>
        <w:tc>
          <w:tcPr>
            <w:tcW w:w="1017" w:type="dxa"/>
            <w:gridSpan w:val="3"/>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(ד)</w:t>
            </w:r>
          </w:p>
        </w:tc>
        <w:tc>
          <w:tcPr>
            <w:tcW w:w="497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w:t>
            </w:r>
            <w:r>
              <w:rPr>
                <w:rFonts w:cs="David"/>
                <w:sz w:val="26"/>
                <w:szCs w:val="26"/>
                <w:rtl/>
              </w:rPr>
              <w:t xml:space="preserve">ף זה - </w:t>
            </w:r>
          </w:p>
          <w:p w:rsidR="00000000" w:rsidRDefault="004D1A3F">
            <w:pPr>
              <w:spacing w:line="360" w:lineRule="auto"/>
              <w:jc w:val="both"/>
              <w:rPr>
                <w:rFonts w:cs="David"/>
                <w:sz w:val="26"/>
                <w:szCs w:val="26"/>
              </w:rPr>
            </w:pPr>
            <w:r>
              <w:rPr>
                <w:rFonts w:cs="David"/>
                <w:sz w:val="26"/>
                <w:szCs w:val="26"/>
                <w:rtl/>
              </w:rPr>
              <w:t>"רופא התוכנית" – רופא מומחה לרפואה תעסוקתית או רפואה שיקומית, שאת מינויו אישר השר .</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42</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5.</w:t>
            </w:r>
          </w:p>
        </w:tc>
        <w:tc>
          <w:tcPr>
            <w:tcW w:w="8491" w:type="dxa"/>
            <w:gridSpan w:val="12"/>
            <w:tcBorders>
              <w:top w:val="nil"/>
              <w:left w:val="nil"/>
              <w:bottom w:val="nil"/>
              <w:right w:val="nil"/>
            </w:tcBorders>
          </w:tcPr>
          <w:p w:rsidR="00000000" w:rsidRDefault="004D1A3F">
            <w:pPr>
              <w:spacing w:line="360" w:lineRule="auto"/>
              <w:ind w:right="360"/>
              <w:jc w:val="both"/>
              <w:rPr>
                <w:rFonts w:cs="David"/>
                <w:sz w:val="26"/>
                <w:szCs w:val="26"/>
                <w:rtl/>
              </w:rPr>
            </w:pPr>
            <w:r>
              <w:rPr>
                <w:rFonts w:cs="David"/>
                <w:sz w:val="26"/>
                <w:szCs w:val="26"/>
                <w:rtl/>
              </w:rPr>
              <w:t xml:space="preserve">בחוק העיקרי, בסעיף 42(ב), במקום המילה "לרבות", </w:t>
            </w:r>
            <w:r>
              <w:rPr>
                <w:rFonts w:ascii="Arial" w:hAnsi="Arial" w:cs="David"/>
                <w:sz w:val="26"/>
                <w:szCs w:val="26"/>
                <w:rtl/>
              </w:rPr>
              <w:t xml:space="preserve">יבוא </w:t>
            </w:r>
            <w:r>
              <w:rPr>
                <w:rFonts w:cs="David"/>
                <w:sz w:val="26"/>
                <w:szCs w:val="26"/>
                <w:rtl/>
              </w:rPr>
              <w:t>"מקצועית לפי סעיף 43א או"</w:t>
            </w:r>
            <w:r>
              <w:rPr>
                <w:rFonts w:ascii="Arial" w:hAnsi="Arial" w:cs="David"/>
                <w:sz w:val="26"/>
                <w:szCs w:val="26"/>
                <w:rtl/>
              </w:rPr>
              <w:t>, והמילים "השתלמות, הסבה מקצועית, שיקום תעסוקתי, השלמת השכלה"</w:t>
            </w:r>
            <w:r>
              <w:rPr>
                <w:rFonts w:cs="David"/>
                <w:sz w:val="26"/>
                <w:szCs w:val="26"/>
                <w:rtl/>
              </w:rPr>
              <w:t xml:space="preserve"> - יימח</w:t>
            </w:r>
            <w:r>
              <w:rPr>
                <w:rFonts w:cs="David"/>
                <w:sz w:val="26"/>
                <w:szCs w:val="26"/>
                <w:rtl/>
              </w:rPr>
              <w:t xml:space="preserve">קו. </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43</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6.</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העיקרי, בסעיף 43:</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1. </w:t>
            </w:r>
          </w:p>
        </w:tc>
        <w:tc>
          <w:tcPr>
            <w:tcW w:w="7832" w:type="dxa"/>
            <w:gridSpan w:val="9"/>
            <w:tcBorders>
              <w:top w:val="nil"/>
              <w:left w:val="nil"/>
              <w:bottom w:val="nil"/>
              <w:right w:val="nil"/>
            </w:tcBorders>
          </w:tcPr>
          <w:p w:rsidR="00000000" w:rsidRDefault="004D1A3F">
            <w:pPr>
              <w:spacing w:line="360" w:lineRule="auto"/>
              <w:ind w:right="360"/>
              <w:jc w:val="both"/>
              <w:rPr>
                <w:rFonts w:cs="David"/>
                <w:sz w:val="26"/>
                <w:szCs w:val="26"/>
                <w:rtl/>
              </w:rPr>
            </w:pPr>
            <w:r>
              <w:rPr>
                <w:rFonts w:cs="David"/>
                <w:sz w:val="26"/>
                <w:szCs w:val="26"/>
                <w:rtl/>
              </w:rPr>
              <w:t>בסעיף קטן (א), במקום "בהיקף של שלושים שעות שבועיות לפחות (בסעיף זה – היקף השעות המזערי), ולא יותר מארבעים שעות שבועיות" יבוא "בהיקף שלא יעלה על שלושים עד ארבעים שעות שבועיות", ובסוף הסעיף "ולגבי משתתף ה</w:t>
            </w:r>
            <w:r>
              <w:rPr>
                <w:rFonts w:cs="David"/>
                <w:sz w:val="26"/>
                <w:szCs w:val="26"/>
                <w:rtl/>
              </w:rPr>
              <w:t>זכאי לגמלה חלקית – בהתאם לחלקה היחסי של הגמלה"</w:t>
            </w:r>
          </w:p>
          <w:p w:rsidR="00000000" w:rsidRDefault="004D1A3F">
            <w:pPr>
              <w:spacing w:line="360" w:lineRule="auto"/>
              <w:jc w:val="both"/>
              <w:rPr>
                <w:rFonts w:cs="David"/>
                <w:sz w:val="26"/>
                <w:szCs w:val="26"/>
                <w:rtl/>
              </w:rPr>
            </w:pPr>
          </w:p>
        </w:tc>
      </w:tr>
      <w:tr w:rsidR="00000000">
        <w:trPr>
          <w:trHeight w:val="475"/>
        </w:trPr>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2.</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קטן (ב):</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ind w:right="360"/>
              <w:jc w:val="both"/>
              <w:rPr>
                <w:rFonts w:cs="David"/>
                <w:sz w:val="26"/>
                <w:szCs w:val="26"/>
                <w:rtl/>
              </w:rPr>
            </w:pPr>
          </w:p>
        </w:tc>
        <w:tc>
          <w:tcPr>
            <w:tcW w:w="90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א. </w:t>
            </w:r>
          </w:p>
        </w:tc>
        <w:tc>
          <w:tcPr>
            <w:tcW w:w="6924" w:type="dxa"/>
            <w:gridSpan w:val="7"/>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יימחקו המלים "על אף הוראות סעיף קטן א'" וכן המלים "המזערי" ו"עד לחמש עשרה שעות שבועיות (בסעיף זה – היקף השעות המזערי המופחת)"</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ind w:right="360"/>
              <w:jc w:val="both"/>
              <w:rPr>
                <w:rFonts w:cs="David"/>
                <w:sz w:val="26"/>
                <w:szCs w:val="26"/>
                <w:rtl/>
              </w:rPr>
            </w:pPr>
          </w:p>
        </w:tc>
        <w:tc>
          <w:tcPr>
            <w:tcW w:w="90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ב. </w:t>
            </w:r>
          </w:p>
        </w:tc>
        <w:tc>
          <w:tcPr>
            <w:tcW w:w="6924" w:type="dxa"/>
            <w:gridSpan w:val="7"/>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בפסקה 2 המילה "המזערי" - תימחק.</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ind w:right="360"/>
              <w:jc w:val="both"/>
              <w:rPr>
                <w:rFonts w:cs="David"/>
                <w:sz w:val="26"/>
                <w:szCs w:val="26"/>
                <w:rtl/>
              </w:rPr>
            </w:pPr>
          </w:p>
        </w:tc>
        <w:tc>
          <w:tcPr>
            <w:tcW w:w="90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ג. </w:t>
            </w:r>
          </w:p>
        </w:tc>
        <w:tc>
          <w:tcPr>
            <w:tcW w:w="6924" w:type="dxa"/>
            <w:gridSpan w:val="7"/>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פסקה</w:t>
            </w:r>
            <w:r>
              <w:rPr>
                <w:rFonts w:cs="David"/>
                <w:sz w:val="26"/>
                <w:szCs w:val="26"/>
                <w:rtl/>
              </w:rPr>
              <w:t xml:space="preserve"> 3 – תימחק.</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highlight w:val="yellow"/>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3. </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קטן (ד), המילה "המזערי" - תימחק.</w:t>
            </w:r>
          </w:p>
          <w:p w:rsidR="00000000" w:rsidRDefault="004D1A3F">
            <w:pPr>
              <w:spacing w:line="360" w:lineRule="auto"/>
              <w:jc w:val="both"/>
              <w:rPr>
                <w:rFonts w:cs="David"/>
                <w:sz w:val="26"/>
                <w:szCs w:val="26"/>
                <w:rtl/>
              </w:rPr>
            </w:pPr>
          </w:p>
        </w:tc>
      </w:tr>
      <w:tr w:rsidR="00000000">
        <w:trPr>
          <w:cantSplit/>
        </w:trPr>
        <w:tc>
          <w:tcPr>
            <w:tcW w:w="1053" w:type="dxa"/>
            <w:vMerge w:val="restart"/>
            <w:tcBorders>
              <w:top w:val="nil"/>
              <w:left w:val="nil"/>
              <w:bottom w:val="nil"/>
              <w:right w:val="nil"/>
            </w:tcBorders>
          </w:tcPr>
          <w:p w:rsidR="00000000" w:rsidRDefault="004D1A3F">
            <w:pPr>
              <w:rPr>
                <w:rFonts w:cs="David"/>
                <w:sz w:val="26"/>
                <w:szCs w:val="26"/>
                <w:rtl/>
              </w:rPr>
            </w:pPr>
            <w:r>
              <w:rPr>
                <w:rFonts w:cs="David"/>
                <w:sz w:val="26"/>
                <w:szCs w:val="26"/>
                <w:rtl/>
              </w:rPr>
              <w:t>הוספת סעיף 43א, 43ב</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7. </w:t>
            </w:r>
          </w:p>
        </w:tc>
        <w:tc>
          <w:tcPr>
            <w:tcW w:w="8491" w:type="dxa"/>
            <w:gridSpan w:val="12"/>
            <w:tcBorders>
              <w:top w:val="nil"/>
              <w:left w:val="nil"/>
              <w:bottom w:val="nil"/>
              <w:right w:val="nil"/>
            </w:tcBorders>
          </w:tcPr>
          <w:p w:rsidR="00000000" w:rsidRDefault="004D1A3F">
            <w:pPr>
              <w:spacing w:line="360" w:lineRule="auto"/>
              <w:ind w:right="360"/>
              <w:jc w:val="both"/>
              <w:rPr>
                <w:rFonts w:cs="David"/>
                <w:sz w:val="26"/>
                <w:szCs w:val="26"/>
                <w:rtl/>
              </w:rPr>
            </w:pPr>
            <w:r>
              <w:rPr>
                <w:rFonts w:cs="David"/>
                <w:sz w:val="26"/>
                <w:szCs w:val="26"/>
                <w:rtl/>
              </w:rPr>
              <w:t>בחוק העיקרי, אחרי סעיף 43 יבוא:</w:t>
            </w:r>
          </w:p>
        </w:tc>
      </w:tr>
      <w:tr w:rsidR="00000000">
        <w:trPr>
          <w:cantSplit/>
        </w:trPr>
        <w:tc>
          <w:tcPr>
            <w:tcW w:w="1053" w:type="dxa"/>
            <w:vMerge/>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tcBorders>
              <w:top w:val="nil"/>
              <w:left w:val="nil"/>
              <w:bottom w:val="nil"/>
              <w:right w:val="nil"/>
            </w:tcBorders>
          </w:tcPr>
          <w:p w:rsidR="00000000" w:rsidRDefault="004D1A3F">
            <w:pPr>
              <w:rPr>
                <w:rFonts w:cs="David"/>
                <w:sz w:val="26"/>
                <w:szCs w:val="26"/>
                <w:rtl/>
              </w:rPr>
            </w:pPr>
            <w:r>
              <w:rPr>
                <w:rFonts w:cs="David"/>
                <w:sz w:val="26"/>
                <w:szCs w:val="26"/>
                <w:rtl/>
              </w:rPr>
              <w:t>שירותים תומכי עבודה</w:t>
            </w:r>
          </w:p>
        </w:tc>
        <w:tc>
          <w:tcPr>
            <w:tcW w:w="72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43א.</w:t>
            </w:r>
          </w:p>
        </w:tc>
        <w:tc>
          <w:tcPr>
            <w:tcW w:w="6027" w:type="dxa"/>
            <w:gridSpan w:val="5"/>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"משתתף יהא זכאי לשירותים תומכי עבודה בהתאם לצרכיו על מנת לפתח את כישוריו ולהסיר חסמים המונעים את שילובו בעבודה.</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1736" w:type="dxa"/>
            <w:gridSpan w:val="5"/>
            <w:tcBorders>
              <w:top w:val="nil"/>
              <w:left w:val="nil"/>
              <w:bottom w:val="nil"/>
              <w:right w:val="nil"/>
            </w:tcBorders>
          </w:tcPr>
          <w:p w:rsidR="00000000" w:rsidRDefault="004D1A3F">
            <w:pPr>
              <w:rPr>
                <w:rFonts w:cs="David"/>
                <w:sz w:val="26"/>
                <w:szCs w:val="26"/>
                <w:rtl/>
              </w:rPr>
            </w:pPr>
            <w:r>
              <w:rPr>
                <w:rFonts w:cs="David"/>
                <w:sz w:val="26"/>
                <w:szCs w:val="26"/>
                <w:rtl/>
              </w:rPr>
              <w:t>הוצאות נסיעה, מעונות יום והכשרה מקצועית</w:t>
            </w:r>
          </w:p>
        </w:tc>
        <w:tc>
          <w:tcPr>
            <w:tcW w:w="72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43ב.</w:t>
            </w:r>
          </w:p>
        </w:tc>
        <w:tc>
          <w:tcPr>
            <w:tcW w:w="6027" w:type="dxa"/>
            <w:gridSpan w:val="5"/>
            <w:tcBorders>
              <w:top w:val="nil"/>
              <w:left w:val="nil"/>
              <w:bottom w:val="nil"/>
              <w:right w:val="nil"/>
            </w:tcBorders>
          </w:tcPr>
          <w:p w:rsidR="00000000" w:rsidRDefault="004D1A3F">
            <w:pPr>
              <w:spacing w:line="360" w:lineRule="auto"/>
              <w:jc w:val="both"/>
              <w:rPr>
                <w:rFonts w:cs="David"/>
                <w:sz w:val="26"/>
                <w:szCs w:val="26"/>
                <w:rtl/>
              </w:rPr>
            </w:pPr>
            <w:r>
              <w:rPr>
                <w:rFonts w:cs="David"/>
                <w:color w:val="000000"/>
                <w:sz w:val="26"/>
                <w:szCs w:val="26"/>
                <w:rtl/>
              </w:rPr>
              <w:t xml:space="preserve">מבלי לגרוע בכלליות האמור בסעיף 43א - </w:t>
            </w:r>
          </w:p>
        </w:tc>
      </w:tr>
      <w:tr w:rsidR="00000000">
        <w:tc>
          <w:tcPr>
            <w:tcW w:w="1053" w:type="dxa"/>
            <w:tcBorders>
              <w:top w:val="nil"/>
              <w:left w:val="nil"/>
              <w:bottom w:val="nil"/>
              <w:right w:val="nil"/>
            </w:tcBorders>
          </w:tcPr>
          <w:p w:rsidR="00000000" w:rsidRDefault="004D1A3F">
            <w:pPr>
              <w:pStyle w:val="2"/>
              <w:ind w:right="0"/>
              <w:jc w:val="left"/>
              <w:rPr>
                <w:rFonts w:cs="David"/>
                <w:sz w:val="26"/>
                <w:szCs w:val="26"/>
                <w:rtl/>
              </w:rPr>
            </w:pPr>
          </w:p>
        </w:tc>
        <w:tc>
          <w:tcPr>
            <w:tcW w:w="542" w:type="dxa"/>
            <w:tcBorders>
              <w:top w:val="nil"/>
              <w:left w:val="nil"/>
              <w:bottom w:val="nil"/>
              <w:right w:val="nil"/>
            </w:tcBorders>
          </w:tcPr>
          <w:p w:rsidR="00000000" w:rsidRDefault="004D1A3F">
            <w:pPr>
              <w:pStyle w:val="2"/>
              <w:spacing w:line="360" w:lineRule="auto"/>
              <w:ind w:right="0"/>
              <w:jc w:val="left"/>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(א)</w:t>
            </w: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(1) </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משתתף בתכנית זכאי לקבל החזר הוצאות מלא עבור עלות נסיעותיו בפועל, בעד כל יום שבו השתתף בתכנית; </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(2)</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החזר הוצאות לא ישולם למי שמוסע לפעילות על חשבון מרכז </w:t>
            </w:r>
            <w:r>
              <w:rPr>
                <w:rFonts w:cs="David"/>
                <w:sz w:val="26"/>
                <w:szCs w:val="26"/>
                <w:rtl/>
              </w:rPr>
              <w:t>התעסוקה או מטעמו;</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(3)</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החזר ההוצאות ישולם בהקדם האפשרי, וככל הניתן אף יסופק למשתתף אמצעי תשלום מראש עבור נסיעות;</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w:t>
            </w: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(1)</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משתתף בתכנית זכאי להשגחה על ילדיו עד לגיל לימוד חובה לפי חוק לימוד חובה, התש"ט-1949</w:t>
            </w:r>
            <w:r>
              <w:rPr>
                <w:rStyle w:val="a7"/>
                <w:rFonts w:cs="David"/>
                <w:sz w:val="26"/>
                <w:szCs w:val="26"/>
                <w:rtl/>
              </w:rPr>
              <w:footnoteReference w:id="5"/>
            </w:r>
            <w:r>
              <w:rPr>
                <w:rFonts w:cs="David"/>
                <w:sz w:val="26"/>
                <w:szCs w:val="26"/>
                <w:rtl/>
              </w:rPr>
              <w:t>, במעונות יום בכל השע</w:t>
            </w:r>
            <w:r>
              <w:rPr>
                <w:rFonts w:cs="David"/>
                <w:sz w:val="26"/>
                <w:szCs w:val="26"/>
                <w:rtl/>
              </w:rPr>
              <w:t>ות שבהם הוא מחויב להשתתף בתכנית האישית;</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(2)</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משתתף שנמצאה לו עבודה לפי סעיף 41 ונמצא זכאי להשגחה על ילדיו מכוח חוק או הסדר אחר, יוסיף להיות זכאי להשגחה מכוח חוק זה עד להשתלבות ילדיו במעונות מכוח הסדר אחר;</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(ג)</w:t>
            </w: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(1) </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מרכז התעסוקה יפנה משתתף להכשרה מקצ</w:t>
            </w:r>
            <w:r>
              <w:rPr>
                <w:rFonts w:cs="David"/>
                <w:sz w:val="26"/>
                <w:szCs w:val="26"/>
                <w:rtl/>
              </w:rPr>
              <w:t>ועית לצורך שילובו בעבודה, ככל הניתן, בהתאם לצרכיו;</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(2)</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הכשרה מקצועית תכלול השלמת השכלה, הסבה מקצועית, שיקום תעסוקתי, פיתוח כישורי שפה, וכל פעילות איכותית אחרת הדרוש לצורך הקניית כישורי עבודה או השכלה אשר תאושר על ידי השר;</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(3)</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השר יקבע באישור ועדת</w:t>
            </w:r>
            <w:r>
              <w:rPr>
                <w:rFonts w:cs="David"/>
                <w:sz w:val="26"/>
                <w:szCs w:val="26"/>
                <w:rtl/>
              </w:rPr>
              <w:t xml:space="preserve"> העבודה, הרווחה והבריאות של הכנסת הוראות בדבר הכשרות מקצועיות לרבות סוגי ההכשרות, תוכנם  והיקפם;  </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2464" w:type="dxa"/>
            <w:gridSpan w:val="7"/>
            <w:tcBorders>
              <w:top w:val="nil"/>
              <w:left w:val="nil"/>
              <w:bottom w:val="nil"/>
              <w:right w:val="nil"/>
            </w:tcBorders>
          </w:tcPr>
          <w:p w:rsidR="00000000" w:rsidRDefault="004D1A3F">
            <w:pPr>
              <w:spacing w:line="360" w:lineRule="auto"/>
              <w:ind w:right="360"/>
              <w:jc w:val="both"/>
              <w:rPr>
                <w:rFonts w:cs="David"/>
                <w:sz w:val="26"/>
                <w:szCs w:val="26"/>
                <w:rtl/>
              </w:rPr>
            </w:pPr>
          </w:p>
        </w:tc>
        <w:tc>
          <w:tcPr>
            <w:tcW w:w="863" w:type="dxa"/>
            <w:gridSpan w:val="2"/>
            <w:tcBorders>
              <w:top w:val="nil"/>
              <w:left w:val="nil"/>
              <w:bottom w:val="nil"/>
              <w:right w:val="nil"/>
            </w:tcBorders>
          </w:tcPr>
          <w:p w:rsidR="00000000" w:rsidRDefault="004D1A3F">
            <w:pPr>
              <w:spacing w:line="360" w:lineRule="auto"/>
              <w:jc w:val="both"/>
              <w:rPr>
                <w:rFonts w:cs="David"/>
                <w:sz w:val="26"/>
                <w:szCs w:val="26"/>
                <w:rtl/>
              </w:rPr>
            </w:pPr>
          </w:p>
        </w:tc>
        <w:tc>
          <w:tcPr>
            <w:tcW w:w="532" w:type="dxa"/>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(4)</w:t>
            </w:r>
          </w:p>
        </w:tc>
        <w:tc>
          <w:tcPr>
            <w:tcW w:w="4632"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מרכז התעסוקה יעביר דיווח חודשי לשר אשר יכלול, בין היתר, את מספר המשתתפים אשר הופנו להכשרות מקצועיות, פירוט סוג ההכשרות ופירוט העלות של כל אחת מההכשר</w:t>
            </w:r>
            <w:r>
              <w:rPr>
                <w:rFonts w:cs="David"/>
                <w:sz w:val="26"/>
                <w:szCs w:val="26"/>
                <w:rtl/>
              </w:rPr>
              <w:t>ות.</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45</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 xml:space="preserve">8. </w:t>
            </w:r>
          </w:p>
        </w:tc>
        <w:tc>
          <w:tcPr>
            <w:tcW w:w="8491" w:type="dxa"/>
            <w:gridSpan w:val="12"/>
            <w:tcBorders>
              <w:top w:val="nil"/>
              <w:left w:val="nil"/>
              <w:bottom w:val="nil"/>
              <w:right w:val="nil"/>
            </w:tcBorders>
          </w:tcPr>
          <w:p w:rsidR="00000000" w:rsidRDefault="004D1A3F">
            <w:pPr>
              <w:spacing w:line="360" w:lineRule="auto"/>
              <w:ind w:right="360"/>
              <w:jc w:val="both"/>
              <w:rPr>
                <w:rFonts w:cs="David"/>
                <w:sz w:val="26"/>
                <w:szCs w:val="26"/>
                <w:rtl/>
              </w:rPr>
            </w:pPr>
            <w:r>
              <w:rPr>
                <w:rFonts w:cs="David"/>
                <w:sz w:val="26"/>
                <w:szCs w:val="26"/>
                <w:rtl/>
              </w:rPr>
              <w:t xml:space="preserve">בחוק העיקרי, בסעיף 45 - </w:t>
            </w:r>
          </w:p>
        </w:tc>
      </w:tr>
      <w:tr w:rsidR="00000000">
        <w:trPr>
          <w:cantSplit/>
          <w:trHeight w:val="826"/>
        </w:trPr>
        <w:tc>
          <w:tcPr>
            <w:tcW w:w="1053" w:type="dxa"/>
            <w:vMerge w:val="restart"/>
            <w:tcBorders>
              <w:top w:val="nil"/>
              <w:left w:val="nil"/>
              <w:bottom w:val="nil"/>
              <w:right w:val="nil"/>
            </w:tcBorders>
          </w:tcPr>
          <w:p w:rsidR="00000000" w:rsidRDefault="004D1A3F">
            <w:pPr>
              <w:rPr>
                <w:rFonts w:cs="David"/>
                <w:sz w:val="26"/>
                <w:szCs w:val="26"/>
                <w:rtl/>
              </w:rPr>
            </w:pPr>
          </w:p>
        </w:tc>
        <w:tc>
          <w:tcPr>
            <w:tcW w:w="542" w:type="dxa"/>
            <w:vMerge w:val="restart"/>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ascii="Arial" w:hAnsi="Arial" w:cs="David"/>
                <w:sz w:val="26"/>
                <w:szCs w:val="26"/>
              </w:rPr>
            </w:pPr>
            <w:r>
              <w:rPr>
                <w:rFonts w:ascii="Arial" w:hAnsi="Arial" w:cs="David"/>
                <w:sz w:val="26"/>
                <w:szCs w:val="26"/>
                <w:rtl/>
              </w:rPr>
              <w:t>(1)</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קטן (א), במקום "מתכנן יעדים תעסוקתי" יבוא "נציג שירות התעסוקה";</w:t>
            </w:r>
          </w:p>
        </w:tc>
      </w:tr>
      <w:tr w:rsidR="00000000">
        <w:trPr>
          <w:cantSplit/>
          <w:trHeight w:val="530"/>
        </w:trPr>
        <w:tc>
          <w:tcPr>
            <w:tcW w:w="1053" w:type="dxa"/>
            <w:vMerge/>
            <w:tcBorders>
              <w:top w:val="nil"/>
              <w:left w:val="nil"/>
              <w:bottom w:val="nil"/>
              <w:right w:val="nil"/>
            </w:tcBorders>
          </w:tcPr>
          <w:p w:rsidR="00000000" w:rsidRDefault="004D1A3F">
            <w:pPr>
              <w:rPr>
                <w:rFonts w:cs="David"/>
                <w:sz w:val="26"/>
                <w:szCs w:val="26"/>
                <w:rtl/>
              </w:rPr>
            </w:pPr>
          </w:p>
        </w:tc>
        <w:tc>
          <w:tcPr>
            <w:tcW w:w="542" w:type="dxa"/>
            <w:vMerge/>
            <w:tcBorders>
              <w:top w:val="nil"/>
              <w:left w:val="nil"/>
              <w:bottom w:val="nil"/>
              <w:right w:val="nil"/>
            </w:tcBorders>
          </w:tcPr>
          <w:p w:rsidR="00000000" w:rsidRDefault="004D1A3F">
            <w:pPr>
              <w:spacing w:line="360" w:lineRule="auto"/>
              <w:rPr>
                <w:rFonts w:cs="David"/>
                <w:sz w:val="26"/>
                <w:szCs w:val="26"/>
                <w:rtl/>
              </w:rPr>
            </w:pPr>
          </w:p>
        </w:tc>
        <w:tc>
          <w:tcPr>
            <w:tcW w:w="659" w:type="dxa"/>
            <w:gridSpan w:val="3"/>
            <w:vMerge w:val="restart"/>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(2)</w:t>
            </w:r>
          </w:p>
          <w:p w:rsidR="00000000" w:rsidRDefault="004D1A3F">
            <w:pPr>
              <w:spacing w:line="360" w:lineRule="auto"/>
              <w:jc w:val="both"/>
              <w:rPr>
                <w:rFonts w:cs="David"/>
                <w:sz w:val="26"/>
                <w:szCs w:val="26"/>
                <w:rtl/>
              </w:rPr>
            </w:pP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אחרי סעיף קטן (א) יבוא </w:t>
            </w:r>
          </w:p>
        </w:tc>
      </w:tr>
      <w:tr w:rsidR="00000000">
        <w:trPr>
          <w:cantSplit/>
          <w:trHeight w:val="585"/>
        </w:trPr>
        <w:tc>
          <w:tcPr>
            <w:tcW w:w="1053" w:type="dxa"/>
            <w:vMerge/>
            <w:tcBorders>
              <w:top w:val="nil"/>
              <w:left w:val="nil"/>
              <w:bottom w:val="nil"/>
              <w:right w:val="nil"/>
            </w:tcBorders>
          </w:tcPr>
          <w:p w:rsidR="00000000" w:rsidRDefault="004D1A3F">
            <w:pPr>
              <w:rPr>
                <w:rFonts w:cs="David"/>
                <w:sz w:val="26"/>
                <w:szCs w:val="26"/>
                <w:rtl/>
              </w:rPr>
            </w:pPr>
          </w:p>
        </w:tc>
        <w:tc>
          <w:tcPr>
            <w:tcW w:w="542" w:type="dxa"/>
            <w:vMerge/>
            <w:tcBorders>
              <w:top w:val="nil"/>
              <w:left w:val="nil"/>
              <w:bottom w:val="nil"/>
              <w:right w:val="nil"/>
            </w:tcBorders>
          </w:tcPr>
          <w:p w:rsidR="00000000" w:rsidRDefault="004D1A3F">
            <w:pPr>
              <w:spacing w:line="360" w:lineRule="auto"/>
              <w:rPr>
                <w:rFonts w:cs="David"/>
                <w:sz w:val="26"/>
                <w:szCs w:val="26"/>
                <w:rtl/>
              </w:rPr>
            </w:pPr>
          </w:p>
        </w:tc>
        <w:tc>
          <w:tcPr>
            <w:tcW w:w="659" w:type="dxa"/>
            <w:gridSpan w:val="3"/>
            <w:vMerge/>
            <w:tcBorders>
              <w:top w:val="nil"/>
              <w:left w:val="nil"/>
              <w:bottom w:val="nil"/>
              <w:right w:val="nil"/>
            </w:tcBorders>
          </w:tcPr>
          <w:p w:rsidR="00000000" w:rsidRDefault="004D1A3F">
            <w:pPr>
              <w:spacing w:line="360" w:lineRule="auto"/>
              <w:jc w:val="both"/>
              <w:rPr>
                <w:rFonts w:cs="David"/>
                <w:sz w:val="26"/>
                <w:szCs w:val="26"/>
                <w:rtl/>
              </w:rPr>
            </w:pPr>
          </w:p>
        </w:tc>
        <w:tc>
          <w:tcPr>
            <w:tcW w:w="908" w:type="dxa"/>
            <w:gridSpan w:val="2"/>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"(ב)</w:t>
            </w:r>
          </w:p>
        </w:tc>
        <w:tc>
          <w:tcPr>
            <w:tcW w:w="6924" w:type="dxa"/>
            <w:gridSpan w:val="7"/>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לא מסר מתכנן יעדים תעסוקתי עותק מאישור השתתפות למשתתף או לא נימק את קביעותיו באישור ההשתת</w:t>
            </w:r>
            <w:r>
              <w:rPr>
                <w:rFonts w:cs="David"/>
                <w:sz w:val="26"/>
                <w:szCs w:val="26"/>
                <w:rtl/>
              </w:rPr>
              <w:t>פות, לא יהיה רשאי לקבוע כי משתתף סירב לקבל את העבודה שאליה הופנה או כי משתתף לא ביצע את התוכנית האישית במלואה, כאמור בסעיף א(1)(2) כלעיל.</w:t>
            </w:r>
            <w:r>
              <w:rPr>
                <w:rFonts w:ascii="Arial" w:hAnsi="Arial" w:cs="David"/>
                <w:sz w:val="26"/>
                <w:szCs w:val="26"/>
                <w:rtl/>
              </w:rPr>
              <w:t>"</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(3)</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קטן (ב), במקום "מתכנן יעדים תעסוקתי" יבוא "נציג שירות התעסוקה".</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(4)</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אחרי סעיף קטן (ג), יבוא:</w:t>
            </w:r>
          </w:p>
        </w:tc>
      </w:tr>
      <w:tr w:rsidR="00000000">
        <w:tc>
          <w:tcPr>
            <w:tcW w:w="1053" w:type="dxa"/>
            <w:tcBorders>
              <w:top w:val="nil"/>
              <w:left w:val="nil"/>
              <w:bottom w:val="nil"/>
              <w:right w:val="nil"/>
            </w:tcBorders>
          </w:tcPr>
          <w:p w:rsidR="00000000" w:rsidRDefault="004D1A3F">
            <w:pPr>
              <w:rPr>
                <w:rFonts w:cs="David"/>
                <w:sz w:val="26"/>
                <w:szCs w:val="26"/>
                <w:rtl/>
              </w:rPr>
            </w:pPr>
          </w:p>
        </w:tc>
        <w:tc>
          <w:tcPr>
            <w:tcW w:w="542" w:type="dxa"/>
            <w:tcBorders>
              <w:top w:val="nil"/>
              <w:left w:val="nil"/>
              <w:bottom w:val="nil"/>
              <w:right w:val="nil"/>
            </w:tcBorders>
          </w:tcPr>
          <w:p w:rsidR="00000000" w:rsidRDefault="004D1A3F">
            <w:pPr>
              <w:spacing w:line="360" w:lineRule="auto"/>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p>
        </w:tc>
        <w:tc>
          <w:tcPr>
            <w:tcW w:w="773" w:type="dxa"/>
            <w:gridSpan w:val="2"/>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"(ד)</w:t>
            </w:r>
          </w:p>
        </w:tc>
        <w:tc>
          <w:tcPr>
            <w:tcW w:w="7059" w:type="dxa"/>
            <w:gridSpan w:val="7"/>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בטרם ייקבע כי משתתף לא מילא את תכניתו האישית, יבחן נציג שירות התעסוקה את סבירות התכנית, את מתן שירותים תומכי עבודה למשתתף, את התאמת התכנית למגבלות המשתתף, את נסיבות היעדרותו, והכל לאור היות הגמלה גמלת קיום."</w:t>
            </w:r>
          </w:p>
          <w:p w:rsidR="00000000" w:rsidRDefault="004D1A3F">
            <w:pPr>
              <w:spacing w:line="360" w:lineRule="auto"/>
              <w:jc w:val="both"/>
              <w:rPr>
                <w:rFonts w:cs="David"/>
                <w:sz w:val="26"/>
                <w:szCs w:val="26"/>
                <w:rtl/>
              </w:rPr>
            </w:pP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59</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9.</w:t>
            </w:r>
          </w:p>
        </w:tc>
        <w:tc>
          <w:tcPr>
            <w:tcW w:w="8491" w:type="dxa"/>
            <w:gridSpan w:val="1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בחוק העיקרי בסעיף 59, סעיף ק</w:t>
            </w:r>
            <w:r>
              <w:rPr>
                <w:rFonts w:cs="David"/>
                <w:sz w:val="26"/>
                <w:szCs w:val="26"/>
                <w:rtl/>
              </w:rPr>
              <w:t>טן (ג) – יימחק.</w:t>
            </w:r>
          </w:p>
        </w:tc>
      </w:tr>
      <w:tr w:rsidR="00000000">
        <w:tc>
          <w:tcPr>
            <w:tcW w:w="1053" w:type="dxa"/>
            <w:tcBorders>
              <w:top w:val="nil"/>
              <w:left w:val="nil"/>
              <w:bottom w:val="nil"/>
              <w:right w:val="nil"/>
            </w:tcBorders>
          </w:tcPr>
          <w:p w:rsidR="00000000" w:rsidRDefault="004D1A3F">
            <w:pPr>
              <w:rPr>
                <w:rFonts w:cs="David"/>
                <w:sz w:val="26"/>
                <w:szCs w:val="26"/>
                <w:rtl/>
              </w:rPr>
            </w:pPr>
            <w:r>
              <w:rPr>
                <w:rFonts w:cs="David"/>
                <w:sz w:val="26"/>
                <w:szCs w:val="26"/>
                <w:rtl/>
              </w:rPr>
              <w:t>תיקון סעיף 65</w:t>
            </w:r>
          </w:p>
        </w:tc>
        <w:tc>
          <w:tcPr>
            <w:tcW w:w="542" w:type="dxa"/>
            <w:tcBorders>
              <w:top w:val="nil"/>
              <w:left w:val="nil"/>
              <w:bottom w:val="nil"/>
              <w:right w:val="nil"/>
            </w:tcBorders>
          </w:tcPr>
          <w:p w:rsidR="00000000" w:rsidRDefault="004D1A3F">
            <w:pPr>
              <w:spacing w:line="360" w:lineRule="auto"/>
              <w:rPr>
                <w:rFonts w:cs="David"/>
                <w:sz w:val="26"/>
                <w:szCs w:val="26"/>
                <w:rtl/>
              </w:rPr>
            </w:pPr>
            <w:r>
              <w:rPr>
                <w:rFonts w:cs="David"/>
                <w:sz w:val="26"/>
                <w:szCs w:val="26"/>
                <w:rtl/>
              </w:rPr>
              <w:t>10.</w:t>
            </w:r>
          </w:p>
        </w:tc>
        <w:tc>
          <w:tcPr>
            <w:tcW w:w="8491" w:type="dxa"/>
            <w:gridSpan w:val="12"/>
            <w:tcBorders>
              <w:top w:val="nil"/>
              <w:left w:val="nil"/>
              <w:bottom w:val="nil"/>
              <w:right w:val="nil"/>
            </w:tcBorders>
          </w:tcPr>
          <w:p w:rsidR="00000000" w:rsidRDefault="004D1A3F">
            <w:pPr>
              <w:spacing w:line="360" w:lineRule="auto"/>
              <w:ind w:right="720"/>
              <w:jc w:val="both"/>
              <w:rPr>
                <w:rFonts w:cs="David"/>
                <w:sz w:val="26"/>
                <w:szCs w:val="26"/>
                <w:rtl/>
              </w:rPr>
            </w:pPr>
            <w:r>
              <w:rPr>
                <w:rFonts w:cs="David"/>
                <w:sz w:val="26"/>
                <w:szCs w:val="26"/>
                <w:rtl/>
              </w:rPr>
              <w:t>בחוק העיקרי, בסעיף 65 במקום המלים "שלוש שנים" יבוא "18 חודשים".</w:t>
            </w:r>
          </w:p>
          <w:p w:rsidR="00000000" w:rsidRDefault="004D1A3F">
            <w:pPr>
              <w:spacing w:line="360" w:lineRule="auto"/>
              <w:jc w:val="both"/>
              <w:rPr>
                <w:rFonts w:cs="David"/>
                <w:sz w:val="26"/>
                <w:szCs w:val="26"/>
                <w:rtl/>
              </w:rPr>
            </w:pPr>
          </w:p>
        </w:tc>
      </w:tr>
      <w:tr w:rsidR="00000000">
        <w:trPr>
          <w:cantSplit/>
        </w:trPr>
        <w:tc>
          <w:tcPr>
            <w:tcW w:w="1053" w:type="dxa"/>
            <w:vMerge w:val="restart"/>
            <w:tcBorders>
              <w:top w:val="nil"/>
              <w:left w:val="nil"/>
              <w:bottom w:val="nil"/>
              <w:right w:val="nil"/>
            </w:tcBorders>
          </w:tcPr>
          <w:p w:rsidR="00000000" w:rsidRDefault="004D1A3F">
            <w:pPr>
              <w:rPr>
                <w:rFonts w:cs="David"/>
                <w:sz w:val="26"/>
                <w:szCs w:val="26"/>
                <w:rtl/>
              </w:rPr>
            </w:pPr>
            <w:r>
              <w:rPr>
                <w:rFonts w:cs="David"/>
                <w:sz w:val="26"/>
                <w:szCs w:val="26"/>
                <w:rtl/>
              </w:rPr>
              <w:t>תיקון חוק הבטחת הכנסה</w:t>
            </w:r>
          </w:p>
        </w:tc>
        <w:tc>
          <w:tcPr>
            <w:tcW w:w="542" w:type="dxa"/>
            <w:tcBorders>
              <w:top w:val="nil"/>
              <w:left w:val="nil"/>
              <w:bottom w:val="nil"/>
              <w:right w:val="nil"/>
            </w:tcBorders>
          </w:tcPr>
          <w:p w:rsidR="00000000" w:rsidRDefault="004D1A3F">
            <w:pPr>
              <w:pStyle w:val="af"/>
              <w:rPr>
                <w:rFonts w:cs="David"/>
                <w:sz w:val="26"/>
                <w:szCs w:val="26"/>
                <w:rtl/>
              </w:rPr>
            </w:pPr>
            <w:r>
              <w:rPr>
                <w:rFonts w:cs="David"/>
                <w:sz w:val="26"/>
                <w:szCs w:val="26"/>
                <w:rtl/>
              </w:rPr>
              <w:t>11.</w:t>
            </w: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(א)</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2 לחוק הבטחת הכנסה אחרי סעיף קטן (ב), יבוא:</w:t>
            </w:r>
          </w:p>
        </w:tc>
      </w:tr>
      <w:tr w:rsidR="00000000">
        <w:trPr>
          <w:cantSplit/>
          <w:trHeight w:val="784"/>
        </w:trPr>
        <w:tc>
          <w:tcPr>
            <w:tcW w:w="1053" w:type="dxa"/>
            <w:vMerge/>
            <w:tcBorders>
              <w:top w:val="nil"/>
              <w:left w:val="nil"/>
              <w:bottom w:val="nil"/>
              <w:right w:val="nil"/>
            </w:tcBorders>
          </w:tcPr>
          <w:p w:rsidR="00000000" w:rsidRDefault="004D1A3F">
            <w:pPr>
              <w:rPr>
                <w:rFonts w:cs="David"/>
                <w:sz w:val="26"/>
                <w:szCs w:val="26"/>
                <w:highlight w:val="yellow"/>
                <w:rtl/>
              </w:rPr>
            </w:pPr>
          </w:p>
        </w:tc>
        <w:tc>
          <w:tcPr>
            <w:tcW w:w="542" w:type="dxa"/>
            <w:tcBorders>
              <w:top w:val="nil"/>
              <w:left w:val="nil"/>
              <w:bottom w:val="nil"/>
              <w:right w:val="nil"/>
            </w:tcBorders>
          </w:tcPr>
          <w:p w:rsidR="00000000" w:rsidRDefault="004D1A3F">
            <w:pPr>
              <w:pStyle w:val="af"/>
              <w:rPr>
                <w:rFonts w:cs="David"/>
                <w:sz w:val="26"/>
                <w:szCs w:val="26"/>
                <w:rtl/>
              </w:rPr>
            </w:pPr>
          </w:p>
        </w:tc>
        <w:tc>
          <w:tcPr>
            <w:tcW w:w="1736" w:type="dxa"/>
            <w:gridSpan w:val="5"/>
            <w:tcBorders>
              <w:top w:val="nil"/>
              <w:left w:val="nil"/>
              <w:bottom w:val="nil"/>
              <w:right w:val="nil"/>
            </w:tcBorders>
          </w:tcPr>
          <w:p w:rsidR="00000000" w:rsidRDefault="004D1A3F">
            <w:pPr>
              <w:pStyle w:val="af"/>
              <w:rPr>
                <w:rFonts w:cs="David"/>
                <w:sz w:val="26"/>
                <w:szCs w:val="26"/>
                <w:rtl/>
              </w:rPr>
            </w:pPr>
            <w:r>
              <w:rPr>
                <w:rFonts w:cs="David"/>
                <w:sz w:val="26"/>
                <w:szCs w:val="26"/>
                <w:rtl/>
              </w:rPr>
              <w:t>"זכאות לגמלה חלקית</w:t>
            </w:r>
          </w:p>
          <w:p w:rsidR="00000000" w:rsidRDefault="004D1A3F">
            <w:pPr>
              <w:spacing w:line="360" w:lineRule="auto"/>
              <w:ind w:right="360"/>
              <w:jc w:val="both"/>
              <w:rPr>
                <w:rFonts w:cs="David"/>
                <w:sz w:val="26"/>
                <w:szCs w:val="26"/>
                <w:rtl/>
              </w:rPr>
            </w:pPr>
          </w:p>
        </w:tc>
        <w:tc>
          <w:tcPr>
            <w:tcW w:w="728" w:type="dxa"/>
            <w:gridSpan w:val="2"/>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 (ג)</w:t>
            </w:r>
          </w:p>
        </w:tc>
        <w:tc>
          <w:tcPr>
            <w:tcW w:w="6027" w:type="dxa"/>
            <w:gridSpan w:val="5"/>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על אף האמור בהוראות סעיף קטן (ב), יהיה תושב אזו</w:t>
            </w:r>
            <w:r>
              <w:rPr>
                <w:rFonts w:cs="David"/>
                <w:sz w:val="26"/>
                <w:szCs w:val="26"/>
                <w:rtl/>
              </w:rPr>
              <w:t>ר שילוב זכאי לגמלה בשיעור חלקי, כפי שייקבע בתקנות, בהתאם למספר הימים שבהם ביצע את התוכנית האישית שנקבעה לו, אף אם ביצעה שלא במלואה."</w:t>
            </w:r>
          </w:p>
        </w:tc>
      </w:tr>
      <w:tr w:rsidR="00000000">
        <w:tc>
          <w:tcPr>
            <w:tcW w:w="1053" w:type="dxa"/>
            <w:tcBorders>
              <w:top w:val="nil"/>
              <w:left w:val="nil"/>
              <w:bottom w:val="nil"/>
              <w:right w:val="nil"/>
            </w:tcBorders>
          </w:tcPr>
          <w:p w:rsidR="00000000" w:rsidRDefault="004D1A3F">
            <w:pPr>
              <w:rPr>
                <w:rFonts w:cs="David"/>
                <w:sz w:val="26"/>
                <w:szCs w:val="26"/>
                <w:highlight w:val="yellow"/>
                <w:rtl/>
              </w:rPr>
            </w:pPr>
          </w:p>
        </w:tc>
        <w:tc>
          <w:tcPr>
            <w:tcW w:w="542" w:type="dxa"/>
            <w:tcBorders>
              <w:top w:val="nil"/>
              <w:left w:val="nil"/>
              <w:bottom w:val="nil"/>
              <w:right w:val="nil"/>
            </w:tcBorders>
          </w:tcPr>
          <w:p w:rsidR="00000000" w:rsidRDefault="004D1A3F">
            <w:pPr>
              <w:pStyle w:val="af"/>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 xml:space="preserve">(ב) </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2(א) לחוק הבטחת הכנסה – הוראת שעה, במקום "ומתכנן יעדים תעסוקתי" יבוא "ונציג שירות התעסוקה".</w:t>
            </w:r>
          </w:p>
        </w:tc>
      </w:tr>
      <w:tr w:rsidR="00000000">
        <w:tc>
          <w:tcPr>
            <w:tcW w:w="1053" w:type="dxa"/>
            <w:tcBorders>
              <w:top w:val="nil"/>
              <w:left w:val="nil"/>
              <w:bottom w:val="nil"/>
              <w:right w:val="nil"/>
            </w:tcBorders>
          </w:tcPr>
          <w:p w:rsidR="00000000" w:rsidRDefault="004D1A3F">
            <w:pPr>
              <w:rPr>
                <w:rFonts w:cs="David"/>
                <w:sz w:val="26"/>
                <w:szCs w:val="26"/>
                <w:highlight w:val="yellow"/>
                <w:rtl/>
              </w:rPr>
            </w:pPr>
          </w:p>
        </w:tc>
        <w:tc>
          <w:tcPr>
            <w:tcW w:w="542" w:type="dxa"/>
            <w:tcBorders>
              <w:top w:val="nil"/>
              <w:left w:val="nil"/>
              <w:bottom w:val="nil"/>
              <w:right w:val="nil"/>
            </w:tcBorders>
          </w:tcPr>
          <w:p w:rsidR="00000000" w:rsidRDefault="004D1A3F">
            <w:pPr>
              <w:pStyle w:val="3"/>
              <w:rPr>
                <w:rFonts w:cs="David"/>
                <w:sz w:val="26"/>
                <w:szCs w:val="26"/>
                <w:rtl/>
              </w:rPr>
            </w:pPr>
          </w:p>
        </w:tc>
        <w:tc>
          <w:tcPr>
            <w:tcW w:w="659" w:type="dxa"/>
            <w:gridSpan w:val="3"/>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(ג)</w:t>
            </w:r>
          </w:p>
        </w:tc>
        <w:tc>
          <w:tcPr>
            <w:tcW w:w="7832" w:type="dxa"/>
            <w:gridSpan w:val="9"/>
            <w:tcBorders>
              <w:top w:val="nil"/>
              <w:left w:val="nil"/>
              <w:bottom w:val="nil"/>
              <w:right w:val="nil"/>
            </w:tcBorders>
          </w:tcPr>
          <w:p w:rsidR="00000000" w:rsidRDefault="004D1A3F">
            <w:pPr>
              <w:spacing w:line="360" w:lineRule="auto"/>
              <w:jc w:val="both"/>
              <w:rPr>
                <w:rFonts w:cs="David"/>
                <w:sz w:val="26"/>
                <w:szCs w:val="26"/>
                <w:rtl/>
              </w:rPr>
            </w:pPr>
            <w:r>
              <w:rPr>
                <w:rFonts w:cs="David"/>
                <w:sz w:val="26"/>
                <w:szCs w:val="26"/>
                <w:rtl/>
              </w:rPr>
              <w:t>בסעיף 3א ל</w:t>
            </w:r>
            <w:r>
              <w:rPr>
                <w:rFonts w:cs="David"/>
                <w:sz w:val="26"/>
                <w:szCs w:val="26"/>
                <w:rtl/>
              </w:rPr>
              <w:t>חוק הבטחת הכנסה – הוראת שעה, בסעיף קטן (ב) במקום "שמתכנן יעדים תעסוקתי" יבוא "שנציג שירות התעסוקה".</w:t>
            </w:r>
          </w:p>
        </w:tc>
      </w:tr>
    </w:tbl>
    <w:p w:rsidR="00000000" w:rsidRDefault="004D1A3F">
      <w:pPr>
        <w:pStyle w:val="HeadDivreiHesber"/>
        <w:rPr>
          <w:rFonts w:cs="David"/>
          <w:sz w:val="26"/>
          <w:rtl/>
        </w:rPr>
      </w:pPr>
    </w:p>
    <w:p w:rsidR="00000000" w:rsidRDefault="004D1A3F">
      <w:pPr>
        <w:pStyle w:val="HeadDivreiHesber"/>
        <w:rPr>
          <w:rFonts w:cs="David"/>
          <w:sz w:val="26"/>
          <w:rtl/>
        </w:rPr>
      </w:pPr>
      <w:r>
        <w:rPr>
          <w:rFonts w:cs="David"/>
          <w:sz w:val="26"/>
          <w:rtl/>
        </w:rPr>
        <w:t>דברי הסבר</w:t>
      </w:r>
    </w:p>
    <w:p w:rsidR="00000000" w:rsidRDefault="004D1A3F">
      <w:pPr>
        <w:pStyle w:val="Hesber"/>
        <w:rPr>
          <w:rFonts w:cs="David"/>
          <w:sz w:val="26"/>
          <w:rtl/>
        </w:rPr>
      </w:pPr>
      <w:r>
        <w:rPr>
          <w:rFonts w:cs="David"/>
          <w:sz w:val="26"/>
          <w:rtl/>
        </w:rPr>
        <w:t>מטרת הצעת החוק הנה להתמודד עם ההשלכות שהחלו להתרחש כתוצאה מהפעלת תוכנית מהל"ב הקבועה בחוק המדיניות הכלכלית לשנת הכספים 2004 (תיקוני חקיקה), התשס</w:t>
      </w:r>
      <w:r>
        <w:rPr>
          <w:rFonts w:cs="David"/>
          <w:sz w:val="26"/>
          <w:rtl/>
        </w:rPr>
        <w:t>"ד-2004 (להלן – החוק). תיקון זה משלב בתוכו מספר תיקונים אשר חוברו יחדיו לכדי הצעת חוק אחת אשר מטרתה לתת מענה לכל הליקויים שהתגלו במהלך הפעלת התוכנית.</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1:</w:t>
      </w:r>
    </w:p>
    <w:p w:rsidR="00000000" w:rsidRDefault="004D1A3F">
      <w:pPr>
        <w:pStyle w:val="Hesber"/>
        <w:rPr>
          <w:rFonts w:cs="David"/>
          <w:sz w:val="26"/>
          <w:rtl/>
        </w:rPr>
      </w:pPr>
      <w:r>
        <w:rPr>
          <w:rFonts w:cs="David"/>
          <w:sz w:val="26"/>
          <w:rtl/>
        </w:rPr>
        <w:t xml:space="preserve">במצבו הקיים של שוק העבודה, ובמתכונתה הנוכחית של התכנית, אין מקום לכפות ההשתתפות בה על אוכלוסיות </w:t>
      </w:r>
      <w:r>
        <w:rPr>
          <w:rFonts w:cs="David"/>
          <w:sz w:val="26"/>
          <w:rtl/>
        </w:rPr>
        <w:t xml:space="preserve">המתקשות במציאת עבודה, ואשר תיקונים משמעותיים צריכים להיעשות בשוק עצמו, בטרם יצירת תכנית לשילובם בה. </w:t>
      </w:r>
    </w:p>
    <w:p w:rsidR="00000000" w:rsidRDefault="004D1A3F">
      <w:pPr>
        <w:pStyle w:val="Hesber"/>
        <w:rPr>
          <w:rFonts w:cs="David"/>
          <w:sz w:val="26"/>
          <w:rtl/>
        </w:rPr>
      </w:pPr>
      <w:r>
        <w:rPr>
          <w:rFonts w:cs="David"/>
          <w:sz w:val="26"/>
          <w:rtl/>
        </w:rPr>
        <w:t xml:space="preserve">התכנית כיום, בהיעדר שירותים תומכי עבודה נאותים, יוצרת מצב בלתי אפשרי להורים לילדים, ובוודאי להורים יחידים. לפיכך מוצע כי הורים יחידים יהיו פטורים מהתכנית, </w:t>
      </w:r>
      <w:r>
        <w:rPr>
          <w:rFonts w:cs="David"/>
          <w:sz w:val="26"/>
          <w:rtl/>
        </w:rPr>
        <w:t xml:space="preserve">וכי בכל מקרה לא יחויבו שני בני זוג, הורים לילדים להשתתף בתכנית. </w:t>
      </w:r>
    </w:p>
    <w:p w:rsidR="00000000" w:rsidRDefault="004D1A3F">
      <w:pPr>
        <w:pStyle w:val="Hesber"/>
        <w:rPr>
          <w:rFonts w:cs="David"/>
          <w:sz w:val="26"/>
          <w:rtl/>
        </w:rPr>
      </w:pPr>
      <w:r>
        <w:rPr>
          <w:rFonts w:cs="David"/>
          <w:sz w:val="26"/>
          <w:rtl/>
        </w:rPr>
        <w:t xml:space="preserve">לגבי עובדים חלקית, כאשר רוב המשרות הנוצרות בשוק הינן חלקיות, אין כל מקום לכפות על עובדים חלקית להשתתף בתכנית. </w:t>
      </w:r>
    </w:p>
    <w:p w:rsidR="00000000" w:rsidRDefault="004D1A3F">
      <w:pPr>
        <w:pStyle w:val="Hesber"/>
        <w:rPr>
          <w:rFonts w:cs="David"/>
          <w:sz w:val="26"/>
          <w:rtl/>
        </w:rPr>
      </w:pPr>
      <w:r>
        <w:rPr>
          <w:rFonts w:cs="David"/>
          <w:sz w:val="26"/>
          <w:rtl/>
        </w:rPr>
        <w:t>אין מקום גם להותיר את הפטור מהתכנית רק לקביעת המוסד לביטוח לאומי, בגין אחוזי נכו</w:t>
      </w:r>
      <w:r>
        <w:rPr>
          <w:rFonts w:cs="David"/>
          <w:sz w:val="26"/>
          <w:rtl/>
        </w:rPr>
        <w:t>ת גבוהים. הליכי הביטוח הלאומי עורכים זמן רב והם נועדו לבחון את זכאותו של אדם לקצבת נכות, ולאו דווקא את כשירותו הרפואית למלא תכנית אישית. מוצע כי ייקבע שלוועדה לקביעת כושר עבודה, אשר יש לה ניסיון בבחינת כשירותו הרפואית של דורש עבודה, תינתן הסמכות לקבוע גם כ</w:t>
      </w:r>
      <w:r>
        <w:rPr>
          <w:rFonts w:cs="David"/>
          <w:sz w:val="26"/>
          <w:rtl/>
        </w:rPr>
        <w:t>י אדם פטור מהתכנית.</w:t>
      </w:r>
    </w:p>
    <w:p w:rsidR="00000000" w:rsidRDefault="004D1A3F">
      <w:pPr>
        <w:pStyle w:val="Hesber"/>
        <w:rPr>
          <w:rFonts w:cs="David"/>
          <w:sz w:val="26"/>
          <w:u w:val="single"/>
          <w:rtl/>
        </w:rPr>
      </w:pPr>
    </w:p>
    <w:p w:rsidR="00000000" w:rsidRDefault="004D1A3F">
      <w:pPr>
        <w:pStyle w:val="Hesber"/>
        <w:rPr>
          <w:rFonts w:cs="David"/>
          <w:sz w:val="26"/>
          <w:u w:val="single"/>
          <w:rtl/>
        </w:rPr>
      </w:pPr>
      <w:r>
        <w:rPr>
          <w:rFonts w:cs="David"/>
          <w:sz w:val="26"/>
          <w:u w:val="single"/>
          <w:rtl/>
        </w:rPr>
        <w:t>לסעיף 2:</w:t>
      </w:r>
    </w:p>
    <w:p w:rsidR="00000000" w:rsidRDefault="004D1A3F">
      <w:pPr>
        <w:pStyle w:val="Hesber"/>
        <w:rPr>
          <w:rFonts w:cs="David"/>
          <w:sz w:val="26"/>
          <w:rtl/>
        </w:rPr>
      </w:pPr>
      <w:r>
        <w:rPr>
          <w:rFonts w:cs="David"/>
          <w:sz w:val="26"/>
          <w:rtl/>
        </w:rPr>
        <w:t>אחת מהמלצות הוועדה שבחנה את הרפורמה (ועדת תמיר) הייתה כי מלבד תאגידים, ינוהל מרכז נוסף על ידי שירות התעסוקה. מן הראוי לבחון את הצלחת השירות הציבורי לתת את אותו מענה, בוודאי עוד היות התכנית בגדר ניסוי ואין כל סיבה למנוע זאת כבר</w:t>
      </w:r>
      <w:r>
        <w:rPr>
          <w:rFonts w:cs="David"/>
          <w:sz w:val="26"/>
          <w:rtl/>
        </w:rPr>
        <w:t xml:space="preserve"> מתחילה. זאת גם לאור ההיבטים המתגלים כבעיתיים בהוצאת השירות לידיים פרטיות, כדוגמת טענת החברות המפעילות לסודות מסחריים, המקשה מאד את המעקב אחר פעילותן, ואת השמירה על זכויות המשתתפים. </w:t>
      </w:r>
    </w:p>
    <w:p w:rsidR="00000000" w:rsidRDefault="004D1A3F">
      <w:pPr>
        <w:pStyle w:val="Hesber"/>
        <w:rPr>
          <w:rFonts w:cs="David"/>
          <w:sz w:val="26"/>
          <w:u w:val="single"/>
          <w:rtl/>
        </w:rPr>
      </w:pPr>
    </w:p>
    <w:p w:rsidR="00000000" w:rsidRDefault="004D1A3F">
      <w:pPr>
        <w:pStyle w:val="Hesber"/>
        <w:rPr>
          <w:rFonts w:cs="David"/>
          <w:sz w:val="26"/>
          <w:u w:val="single"/>
          <w:rtl/>
        </w:rPr>
      </w:pPr>
      <w:r>
        <w:rPr>
          <w:rFonts w:cs="David"/>
          <w:sz w:val="26"/>
          <w:u w:val="single"/>
          <w:rtl/>
        </w:rPr>
        <w:t>לסעיף 3:</w:t>
      </w:r>
    </w:p>
    <w:p w:rsidR="00000000" w:rsidRDefault="004D1A3F">
      <w:pPr>
        <w:pStyle w:val="Hesber"/>
        <w:rPr>
          <w:rFonts w:cs="David"/>
          <w:sz w:val="26"/>
          <w:rtl/>
        </w:rPr>
      </w:pPr>
      <w:r>
        <w:rPr>
          <w:rFonts w:cs="David"/>
          <w:sz w:val="26"/>
          <w:rtl/>
        </w:rPr>
        <w:t>נוסחת התגמול לזכיינים, שנקבעה בחוזה בין המדינה לבין התאגידים הפ</w:t>
      </w:r>
      <w:r>
        <w:rPr>
          <w:rFonts w:cs="David"/>
          <w:sz w:val="26"/>
          <w:rtl/>
        </w:rPr>
        <w:t>רטיים, מאפשרת למפעילים ליהנות מרווח בגין הוצאה של משתתפים מהתוכנית גם לא בדרך של שילובם בעבודה. עצם הבחירה לעגן את המודל הכלכלי של התוכנית בחוזה ולא בחוק היא בעייתית לכשעצמה, שכן בתוכנית מסוג זה לנוסחת התגמול יכולה להיות השפעה מכרעת על האופן שבו ינהגו בפוע</w:t>
      </w:r>
      <w:r>
        <w:rPr>
          <w:rFonts w:cs="David"/>
          <w:sz w:val="26"/>
          <w:rtl/>
        </w:rPr>
        <w:t>ל התאגידים הפרטיים המפעילים את מרכזי התעסוקה. אולם, מעבר לכך, המודל שנבחר יוצר סיכון ממשי ששיקולי רווח ולא שיקולים ענייניים יעמדו בבסיס שלילתן של גמלאות. קל להבחין כי מודל תגמול זה, יוצר ניגוד עניינים מובנה ועלול ליצור תמריץ כלכלי חזק להביא לשלילת גמלאות ב</w:t>
      </w:r>
      <w:r>
        <w:rPr>
          <w:rFonts w:cs="David"/>
          <w:sz w:val="26"/>
          <w:rtl/>
        </w:rPr>
        <w:t>כל מחיר, למשל, באמצעות שימוש בסמכויותיו של מתכנן היעדים  לרשום סירוב או לקבוע כי המשתתף לא ביצע את תוכניתו האישית או באמצעות שימוש בפרקטיקות פסולות המיועדות להתיש ולייאש את המשתתפים עד ש"ינשרו". נוסחת תגמול מסכנת את זכויות המשתתפים והיא גם באופן מובהק נוגד</w:t>
      </w:r>
      <w:r>
        <w:rPr>
          <w:rFonts w:cs="David"/>
          <w:sz w:val="26"/>
          <w:rtl/>
        </w:rPr>
        <w:t xml:space="preserve">ת את האינטרס הציבורי כפי שבא לידי ביטוי במטרות החוק, לפיו מטרת התוכנית היא לשלב את המשתתפים בעבודה. </w:t>
      </w:r>
    </w:p>
    <w:p w:rsidR="00000000" w:rsidRDefault="004D1A3F">
      <w:pPr>
        <w:pStyle w:val="Hesber"/>
        <w:rPr>
          <w:rFonts w:cs="David"/>
          <w:sz w:val="26"/>
          <w:rtl/>
        </w:rPr>
      </w:pPr>
      <w:r>
        <w:rPr>
          <w:rFonts w:cs="David"/>
          <w:sz w:val="26"/>
          <w:rtl/>
        </w:rPr>
        <w:t xml:space="preserve">על כן, מוצע לעגן בחוק את עקרונות התגמול לזכיינים כך שיובהר כי התגמול לתאגידים המפעילים את מרכזי התעסוקה צריכים להיות מוכוונים לשילוב בעבודה ולא רק לחיסכון </w:t>
      </w:r>
      <w:r>
        <w:rPr>
          <w:rFonts w:cs="David"/>
          <w:sz w:val="26"/>
          <w:rtl/>
        </w:rPr>
        <w:t>בגמלאות. יתר על כן מוצע לאסור באופן מפורש נוסחאות תגמול היוצרות ניגוד עניינים מובנה ולצמצם את הסכנה שהתאגיד ועובדיו יעשו שימוש לרעה בסמכויות הכה רגישות שהופקדו בידיהם ויקדמו את האינטרס הפרטי של מרכזי התעסוקה להשאת רווחים במקום לקדם את  התכליות הציבוריות שה</w:t>
      </w:r>
      <w:r>
        <w:rPr>
          <w:rFonts w:cs="David"/>
          <w:sz w:val="26"/>
          <w:rtl/>
        </w:rPr>
        <w:t>מרכזים אמורים להגשים.</w:t>
      </w:r>
      <w:r>
        <w:rPr>
          <w:rFonts w:cs="David"/>
          <w:sz w:val="26"/>
          <w:rtl/>
        </w:rPr>
        <w:tab/>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4:</w:t>
      </w:r>
    </w:p>
    <w:p w:rsidR="00000000" w:rsidRDefault="004D1A3F">
      <w:pPr>
        <w:pStyle w:val="Hesber"/>
        <w:rPr>
          <w:rFonts w:cs="David"/>
          <w:sz w:val="26"/>
          <w:rtl/>
        </w:rPr>
      </w:pPr>
      <w:r>
        <w:rPr>
          <w:rFonts w:cs="David"/>
          <w:sz w:val="26"/>
          <w:rtl/>
        </w:rPr>
        <w:t>על פי הוראות החוק, שמור תפקיד רב חשיבות לרופאים המועסקים על ידי מרכז התעסוקה. תפקידם הוא לחוות דעה מקצועית באשר ליכולתם הגופנית והבריאותית של משתתפי התוכנית להשתלב בתוכנית אישית ובשירות בקהילה וכן בעבודה המוצעת להם. אם סירו</w:t>
      </w:r>
      <w:r>
        <w:rPr>
          <w:rFonts w:cs="David"/>
          <w:sz w:val="26"/>
          <w:rtl/>
        </w:rPr>
        <w:t xml:space="preserve">בו של משתתף לא מוצדק מבחינה בריאותית, תישלל ממנו גמלתו. </w:t>
      </w:r>
    </w:p>
    <w:p w:rsidR="00000000" w:rsidRDefault="004D1A3F">
      <w:pPr>
        <w:pStyle w:val="Hesber"/>
        <w:rPr>
          <w:rFonts w:cs="David"/>
          <w:sz w:val="26"/>
          <w:rtl/>
        </w:rPr>
      </w:pPr>
      <w:r>
        <w:rPr>
          <w:rFonts w:cs="David"/>
          <w:sz w:val="26"/>
          <w:rtl/>
        </w:rPr>
        <w:t xml:space="preserve">הרופאים מצויים, אפוא, בצומת חשוב, בין היתר, משום שרבים ממשתתפי התוכנית זקוקים לגמלת הבטחת הכנסה דווקא בשל מגבלותיהם הבריאותיות, אשר פעמים רבות אינן מאפשרות להם להשתלב בשוק העבודה. </w:t>
      </w:r>
    </w:p>
    <w:p w:rsidR="00000000" w:rsidRDefault="004D1A3F">
      <w:pPr>
        <w:pStyle w:val="Hesber"/>
        <w:rPr>
          <w:rFonts w:cs="David"/>
          <w:sz w:val="26"/>
          <w:rtl/>
        </w:rPr>
      </w:pPr>
      <w:r>
        <w:rPr>
          <w:rFonts w:cs="David"/>
          <w:sz w:val="26"/>
          <w:rtl/>
        </w:rPr>
        <w:t>אולם, על פי המצב ה</w:t>
      </w:r>
      <w:r>
        <w:rPr>
          <w:rFonts w:cs="David"/>
          <w:sz w:val="26"/>
          <w:rtl/>
        </w:rPr>
        <w:t>קיים קיים ניגוד עניינים מובנה חמור בתפקידם של רופאי המרכז, אשר יש בו כדי לסכל את מילוי חובותיהם האתיות כלפי מקבלי שירותיהם- המשתתפים, וכן לסכן באופן משמעותי את בריאותם של אלו הסובלים מבעיות רפואיות כמו את זכותם לגמלת קיום. מחד גיסא, מחויבים הרופאים בחובה א</w:t>
      </w:r>
      <w:r>
        <w:rPr>
          <w:rFonts w:cs="David"/>
          <w:sz w:val="26"/>
          <w:rtl/>
        </w:rPr>
        <w:t>תית ובדין כלפי המשתתפים, ומאידך גיסא, בהתאם לנוסחת התגמול הכלכלית שנקבעה בחוזה שנחתם עם מרכזי התעסוקה (בהם תלויה פרנסתם של הרופאים) קיים תמריץ מובנה לחסכון בגמלאות על ידי שלילתן. מבנה זה יוצר חשש ממשי כי החלטות הנוגעות למצבו הרפואי של משתתף יונעו משיקולי מ</w:t>
      </w:r>
      <w:r>
        <w:rPr>
          <w:rFonts w:cs="David"/>
          <w:sz w:val="26"/>
          <w:rtl/>
        </w:rPr>
        <w:t xml:space="preserve">קסום הרווח ולא מטעמים רפואיים. </w:t>
      </w:r>
    </w:p>
    <w:p w:rsidR="00000000" w:rsidRDefault="004D1A3F">
      <w:pPr>
        <w:pStyle w:val="Hesber"/>
        <w:rPr>
          <w:rFonts w:cs="David"/>
          <w:sz w:val="26"/>
          <w:rtl/>
        </w:rPr>
      </w:pPr>
      <w:r>
        <w:rPr>
          <w:rFonts w:cs="David"/>
          <w:sz w:val="26"/>
          <w:rtl/>
        </w:rPr>
        <w:t xml:space="preserve">זאת ועוד, חוות הדעת הרפואיות הניתנות אינן מפרטות את מידת ההתאמה בין המצב הרפואי של משתתף לבין התוכנית או העבודה המוצעים לו. תחת זאת, הן מתגבשות ללא בדיקה של המשתתפים ותוך שהן סותרות את ממציאיהם של הרופא המטפל. </w:t>
      </w:r>
    </w:p>
    <w:p w:rsidR="00000000" w:rsidRDefault="004D1A3F">
      <w:pPr>
        <w:pStyle w:val="Hesber"/>
        <w:rPr>
          <w:rFonts w:cs="David"/>
          <w:sz w:val="26"/>
          <w:rtl/>
        </w:rPr>
      </w:pPr>
      <w:r>
        <w:rPr>
          <w:rFonts w:cs="David"/>
          <w:sz w:val="26"/>
          <w:rtl/>
        </w:rPr>
        <w:t>לפיכך, מוצע ל</w:t>
      </w:r>
      <w:r>
        <w:rPr>
          <w:rFonts w:cs="David"/>
          <w:sz w:val="26"/>
          <w:rtl/>
        </w:rPr>
        <w:t>קבוע, כי חוות הדעת תהא מוגבלת לקביעה האם מגבלותיו הרפואיות של המשתתף עולות בקנה אחד עם התוכנית האישית, השירות בקהילה ו/או העבודה המוצעת לו. כמו כן, על מנת לפתור את ניגוד העניינים המובנה מוצע כי הרופאים יהיו עובדי ציבור, המועסקים במישרין על ידי שירות תעסוקה</w:t>
      </w:r>
      <w:r>
        <w:rPr>
          <w:rFonts w:cs="David"/>
          <w:sz w:val="26"/>
          <w:rtl/>
        </w:rPr>
        <w:t>, כנהוג בשירות התעסוקה, מבלי שפרנסתם תהא תלויה במרכזי התעסוקה, שהם בעלי עניין בקביעותיו של הרופא.</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5, 7:</w:t>
      </w:r>
    </w:p>
    <w:p w:rsidR="00000000" w:rsidRDefault="004D1A3F">
      <w:pPr>
        <w:pStyle w:val="Hesber"/>
        <w:rPr>
          <w:rFonts w:cs="David"/>
          <w:sz w:val="26"/>
          <w:rtl/>
        </w:rPr>
      </w:pPr>
      <w:r>
        <w:rPr>
          <w:rFonts w:cs="David"/>
          <w:sz w:val="26"/>
          <w:rtl/>
        </w:rPr>
        <w:t>שירותים תומכי עבודה -- כגון השלמת השכלה והכשרה מקצועית, סבסוד הוצאות נסיעה לעבודה, שירותי השגחה על ילדים וכדומה -- הם שירותים שמטרתם להסיר או לצמ</w:t>
      </w:r>
      <w:r>
        <w:rPr>
          <w:rFonts w:cs="David"/>
          <w:sz w:val="26"/>
          <w:rtl/>
        </w:rPr>
        <w:t>צם החסמים המונעים את המשתתף מלהשתלב בעבודה. חשיבותם של שירותים תומכי עבודה בתוכנית היא מכרעת, שכן ממחקרים של מכון ברוקדייל והביטוח הלאומי עולה כי רבים מאוכלוסיית משתתפי התוכנית סובלים מחסמים מוסדיים ו/או אישיים מפני השתלבות בעבודה. החסמים המוסדיים טמונים ב</w:t>
      </w:r>
      <w:r>
        <w:rPr>
          <w:rFonts w:cs="David"/>
          <w:sz w:val="26"/>
          <w:rtl/>
        </w:rPr>
        <w:t xml:space="preserve">מבנה ובתפקוד המערכות המופקדות על השילוב בעבודה ואילו החסמים האישיים כוללים השכלה נמוכה, העדר מקצוע וחוסר ניסיון בעבודה בקרב מקבלי הגמלאות או מחסמים הנובעים ממאפיינים דמוגראפיים, כגון הורות לילדים קטנים. עמד על כך גם דו"ח ועדת תמיר, שציין כי הפעלת התוכניות </w:t>
      </w:r>
      <w:r>
        <w:rPr>
          <w:rFonts w:cs="David"/>
          <w:sz w:val="26"/>
          <w:rtl/>
        </w:rPr>
        <w:t>" ... מחייבת טיפול אישי וגמיש גם בחסמים להשתלבותו בעבודה הנובעים מגורמים שאינם קשורים בהכרח במשאביו האישיים, למשל, סידור השגחה לילדים קטנים, סידור תחבורה למקומות עבודה רחוקים וכיו"ב.".</w:t>
      </w:r>
    </w:p>
    <w:p w:rsidR="00000000" w:rsidRDefault="004D1A3F">
      <w:pPr>
        <w:pStyle w:val="Hesber"/>
        <w:rPr>
          <w:rFonts w:cs="David"/>
          <w:sz w:val="26"/>
          <w:rtl/>
        </w:rPr>
      </w:pPr>
      <w:r>
        <w:rPr>
          <w:rFonts w:cs="David"/>
          <w:sz w:val="26"/>
          <w:rtl/>
        </w:rPr>
        <w:t>למרות חשיבותם הרבה, זכויותיהם של המשתתפים בכל הנוגע לשירותים תומכי עבוד</w:t>
      </w:r>
      <w:r>
        <w:rPr>
          <w:rFonts w:cs="David"/>
          <w:sz w:val="26"/>
          <w:rtl/>
        </w:rPr>
        <w:t xml:space="preserve">ה אינן מעוגנות בחוק, ויתר על כן מרכז התעסוקה אינו מחויב לספק שירותים כאלה, אלא רק רשאי לעשות כן. במבנה הנוכחי של החוק המדגיש רק את החובות והסנקציות המוטלות על המשתתף מבלי שהוא מעגן את זכויותיהם של המשתתפים מפר את האיזון ההוגן שצריך להיות בתוכנית בין חובות </w:t>
      </w:r>
      <w:r>
        <w:rPr>
          <w:rFonts w:cs="David"/>
          <w:sz w:val="26"/>
          <w:rtl/>
        </w:rPr>
        <w:t>לבין זכויות והוא גם פותח פתח לשחיקה של מרכיבים אלו בתוכנית. יתר על כן, הניסיון מהפעלת התוכנית מלמד כי משתתפים רבים אינם מקבלים שירותים תומכי עבודה חיוניים, כגון השגחה על ילדים או החזר הוצאות תחבורה, וכן אין כמעט הפניה של משתתפים להכשרות מקצועיות איכותיות.</w:t>
      </w:r>
    </w:p>
    <w:p w:rsidR="00000000" w:rsidRDefault="004D1A3F">
      <w:pPr>
        <w:pStyle w:val="Hesber"/>
        <w:rPr>
          <w:rFonts w:cs="David"/>
          <w:sz w:val="26"/>
          <w:rtl/>
        </w:rPr>
      </w:pPr>
      <w:r>
        <w:rPr>
          <w:rFonts w:cs="David"/>
          <w:sz w:val="26"/>
          <w:rtl/>
        </w:rPr>
        <w:t>לפיכך, מוצע לעגן את זכויותיהם של המשתתפים לשירותים תומכי עבודה כחלק בלתי נפרד של התוכנית על מנת להסיר חסמים, לפתוח לפני מקבלי גמלאות הזדמנויות תעסוקתיות ולאפשר למשתתפים באופן הוגן להשתלב בעבודה.</w:t>
      </w:r>
    </w:p>
    <w:p w:rsidR="00000000" w:rsidRDefault="004D1A3F">
      <w:pPr>
        <w:pStyle w:val="Hesber"/>
        <w:rPr>
          <w:rFonts w:cs="David"/>
          <w:b/>
          <w:bCs/>
          <w:sz w:val="26"/>
          <w:rtl/>
        </w:rPr>
      </w:pPr>
    </w:p>
    <w:p w:rsidR="00000000" w:rsidRDefault="004D1A3F">
      <w:pPr>
        <w:pStyle w:val="Hesber"/>
        <w:rPr>
          <w:rFonts w:cs="David"/>
          <w:sz w:val="26"/>
          <w:u w:val="single"/>
          <w:rtl/>
        </w:rPr>
      </w:pPr>
      <w:r>
        <w:rPr>
          <w:rFonts w:cs="David"/>
          <w:sz w:val="26"/>
          <w:u w:val="single"/>
          <w:rtl/>
        </w:rPr>
        <w:t>לסעיף 6:</w:t>
      </w:r>
    </w:p>
    <w:p w:rsidR="00000000" w:rsidRDefault="004D1A3F">
      <w:pPr>
        <w:pStyle w:val="Hesber"/>
        <w:rPr>
          <w:rFonts w:cs="David"/>
          <w:sz w:val="26"/>
          <w:rtl/>
        </w:rPr>
      </w:pPr>
      <w:r>
        <w:rPr>
          <w:rFonts w:cs="David"/>
          <w:sz w:val="26"/>
          <w:rtl/>
        </w:rPr>
        <w:t>לאחר חודשים בהם מופעלת התכנית, עולה באופן ברור כי ה</w:t>
      </w:r>
      <w:r>
        <w:rPr>
          <w:rFonts w:cs="David"/>
          <w:sz w:val="26"/>
          <w:rtl/>
        </w:rPr>
        <w:t xml:space="preserve">סד של מספר שעות אינו תואם את מטרת החוק, את מגוון האוכלוסייה המגיעה לתכנית, ואת שוק העבודה. הסעיף, כפי שהוא מנוסח היום, מציב מטרה של יצירת פעילות לשעות רבות, אך המטרה האמיתית היא להשיב אנשים למעגל העבודה. </w:t>
      </w:r>
    </w:p>
    <w:p w:rsidR="00000000" w:rsidRDefault="004D1A3F">
      <w:pPr>
        <w:pStyle w:val="Hesber"/>
        <w:rPr>
          <w:rFonts w:cs="David"/>
          <w:sz w:val="26"/>
          <w:rtl/>
        </w:rPr>
      </w:pPr>
      <w:r>
        <w:rPr>
          <w:rFonts w:cs="David"/>
          <w:sz w:val="26"/>
          <w:rtl/>
        </w:rPr>
        <w:t>קביעת מסגרת השעות אינה תואמת את ההכשרה כפי שצריכה ל</w:t>
      </w:r>
      <w:r>
        <w:rPr>
          <w:rFonts w:cs="David"/>
          <w:sz w:val="26"/>
          <w:rtl/>
        </w:rPr>
        <w:t xml:space="preserve">הינתן למשתתף המסוים, וכופה על מרכזי התעסוקה שימוש באמצעים מלאכותיים שנחזים לעתים כמבחן נוכחות בלבד, שאין עמו ועם הכשרה דבר. המצב הקיים מוביל לקביעת תכניות שאינן תואמות כישוריהם של המשתתפים, והכל בכדי לעמוד בסד השעות שנקבע. </w:t>
      </w:r>
    </w:p>
    <w:p w:rsidR="00000000" w:rsidRDefault="004D1A3F">
      <w:pPr>
        <w:pStyle w:val="Hesber"/>
        <w:rPr>
          <w:rFonts w:cs="David"/>
          <w:sz w:val="26"/>
          <w:rtl/>
        </w:rPr>
      </w:pPr>
      <w:r>
        <w:rPr>
          <w:rFonts w:cs="David"/>
          <w:sz w:val="26"/>
          <w:rtl/>
        </w:rPr>
        <w:t>מחקרים בעולם מראים באופן עקבי כי</w:t>
      </w:r>
      <w:r>
        <w:rPr>
          <w:rFonts w:cs="David"/>
          <w:sz w:val="26"/>
          <w:rtl/>
        </w:rPr>
        <w:t xml:space="preserve"> אין כל אפקטיביות נוספת בקביעת תכנית לפי סד שעות. דרישת השעות מובילה את המרכזים להשקיע מאמץ במילוי מסגרת השעות, במקום לבחון כיצד ניתן באופן היעיל ביותר להשיב אנשים למעגל העבודה. </w:t>
      </w:r>
    </w:p>
    <w:p w:rsidR="00000000" w:rsidRDefault="004D1A3F">
      <w:pPr>
        <w:pStyle w:val="Hesber"/>
        <w:rPr>
          <w:rFonts w:cs="David"/>
          <w:sz w:val="26"/>
          <w:rtl/>
        </w:rPr>
      </w:pPr>
      <w:r>
        <w:rPr>
          <w:rFonts w:cs="David"/>
          <w:sz w:val="26"/>
          <w:rtl/>
        </w:rPr>
        <w:t>ועוד, רוב המשרות הנוצרות היום במשק הינן חלקיות, ולרבים מהמשתתפים אין אפשרות א</w:t>
      </w:r>
      <w:r>
        <w:rPr>
          <w:rFonts w:cs="David"/>
          <w:sz w:val="26"/>
          <w:rtl/>
        </w:rPr>
        <w:t>מיתית להגיע למשרה מלאה בשל מגבלות רבות. לכן אין מקום לדמות את תכנית ההכשרה למספר שעות כבמשרה מלאה.</w:t>
      </w:r>
    </w:p>
    <w:p w:rsidR="00000000" w:rsidRDefault="004D1A3F">
      <w:pPr>
        <w:pStyle w:val="Hesber"/>
        <w:rPr>
          <w:rFonts w:cs="David"/>
          <w:sz w:val="26"/>
          <w:rtl/>
        </w:rPr>
      </w:pPr>
      <w:r>
        <w:rPr>
          <w:rFonts w:cs="David"/>
          <w:sz w:val="26"/>
          <w:rtl/>
        </w:rPr>
        <w:t xml:space="preserve"> שימוש בסד השעות גם עלול להוביל להוצאת כספים מיותרת, שאין בה כל תועלת. כך למשל בעת שימוש בשירותים תומכי עבודה. במקום לבחון מה השירותים הנדרשים כדי להשיב אדם </w:t>
      </w:r>
      <w:r>
        <w:rPr>
          <w:rFonts w:cs="David"/>
          <w:sz w:val="26"/>
          <w:rtl/>
        </w:rPr>
        <w:t xml:space="preserve">למעגל העבודה יצטרכו לתת שירותים ולו כדי לעמוד במכסת השעות.  </w:t>
      </w:r>
    </w:p>
    <w:p w:rsidR="00000000" w:rsidRDefault="004D1A3F">
      <w:pPr>
        <w:pStyle w:val="Hesber"/>
        <w:rPr>
          <w:rFonts w:cs="David"/>
          <w:sz w:val="26"/>
          <w:rtl/>
        </w:rPr>
      </w:pPr>
    </w:p>
    <w:p w:rsidR="00000000" w:rsidRDefault="004D1A3F">
      <w:pPr>
        <w:pStyle w:val="Hesber"/>
        <w:rPr>
          <w:rFonts w:cs="David"/>
          <w:sz w:val="26"/>
          <w:rtl/>
        </w:rPr>
      </w:pPr>
      <w:r>
        <w:rPr>
          <w:rFonts w:cs="David"/>
          <w:sz w:val="26"/>
          <w:rtl/>
        </w:rPr>
        <w:t>מוצע אם כן להשיב את הדברים לסדרם, ולקבוע כי מסגרת השעות תיקבע על פי ההכשרה הנדרשת ולא להפך. במסגרת זו מוצע גם להתחשב בהיותו של משתתף זכאי לגמלה חלקית בלבד, שלפעמים מבטאת גם את יכולת השתלבותו בשו</w:t>
      </w:r>
      <w:r>
        <w:rPr>
          <w:rFonts w:cs="David"/>
          <w:sz w:val="26"/>
          <w:rtl/>
        </w:rPr>
        <w:t>ק העבודה, כך למשל בעל אחוזי נכות.</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8(1), 8(2):</w:t>
      </w:r>
    </w:p>
    <w:p w:rsidR="00000000" w:rsidRDefault="004D1A3F">
      <w:pPr>
        <w:pStyle w:val="Hesber"/>
        <w:rPr>
          <w:rFonts w:cs="David"/>
          <w:sz w:val="26"/>
          <w:rtl/>
        </w:rPr>
      </w:pPr>
      <w:r>
        <w:rPr>
          <w:rFonts w:cs="David"/>
          <w:sz w:val="26"/>
          <w:rtl/>
        </w:rPr>
        <w:t xml:space="preserve">קבלת אישור השתתפות מהווה לא פעם אמצעי יחיד בידי המשתתף לדעת את נסיבות שלילת גמלתו ואת הנימוקים לקביעתו של מתכנן היעדים התעסוקתי כאמור. זאת בפרט לנוכח אי-יידוע המשתתפים על כוונה לשלול גמלתם במועד שמתגבשת </w:t>
      </w:r>
      <w:r>
        <w:rPr>
          <w:rFonts w:cs="David"/>
          <w:sz w:val="26"/>
          <w:rtl/>
        </w:rPr>
        <w:t>החלטה זו עוד במהלך החודש.</w:t>
      </w:r>
    </w:p>
    <w:p w:rsidR="00000000" w:rsidRDefault="004D1A3F">
      <w:pPr>
        <w:pStyle w:val="Hesber"/>
        <w:rPr>
          <w:rFonts w:cs="David"/>
          <w:sz w:val="26"/>
          <w:rtl/>
        </w:rPr>
      </w:pPr>
      <w:r>
        <w:rPr>
          <w:rFonts w:cs="David"/>
          <w:sz w:val="26"/>
          <w:rtl/>
        </w:rPr>
        <w:t xml:space="preserve">ואולם, על פי המצב שנוצר למן התחלת הפעלת התוכנית, אין המשתתפים מקבלים לידיהם העתקי אישורי השתתפות אלא במקרים חריגים, וגם אז רק במסגרת כתב התשובה של מרכזי התעסוקה בערר. </w:t>
      </w:r>
    </w:p>
    <w:p w:rsidR="00000000" w:rsidRDefault="004D1A3F">
      <w:pPr>
        <w:pStyle w:val="Hesber"/>
        <w:rPr>
          <w:rFonts w:cs="David"/>
          <w:sz w:val="26"/>
          <w:rtl/>
        </w:rPr>
      </w:pPr>
      <w:r>
        <w:rPr>
          <w:rFonts w:cs="David"/>
          <w:sz w:val="26"/>
          <w:rtl/>
        </w:rPr>
        <w:t xml:space="preserve">אי ההקפדה על הוראות החוק כאמור מהווה מכשול של ממש במימוש זכות </w:t>
      </w:r>
      <w:r>
        <w:rPr>
          <w:rFonts w:cs="David"/>
          <w:sz w:val="26"/>
          <w:rtl/>
        </w:rPr>
        <w:t>הערר של המשתתף, כאמור בסעיף 46.  בהעדר כל סנקציה כנגד מרכזי התעסוקה, הוראות החוק אינן נשמרות והפגיעות בזכויות המשתתפים, בהקשר זה, ממשיכות ללא מפריע.</w:t>
      </w:r>
    </w:p>
    <w:p w:rsidR="00000000" w:rsidRDefault="004D1A3F">
      <w:pPr>
        <w:pStyle w:val="Hesber"/>
        <w:rPr>
          <w:rFonts w:cs="David"/>
          <w:sz w:val="26"/>
          <w:rtl/>
        </w:rPr>
      </w:pPr>
      <w:r>
        <w:rPr>
          <w:rFonts w:cs="David"/>
          <w:sz w:val="26"/>
          <w:rtl/>
        </w:rPr>
        <w:t xml:space="preserve">מצב זה מביא לעיוות דין, לחוסר וודאות ותחושת חוסר אונים בקרב המשתתפים. </w:t>
      </w:r>
    </w:p>
    <w:p w:rsidR="00000000" w:rsidRDefault="004D1A3F">
      <w:pPr>
        <w:pStyle w:val="Hesber"/>
        <w:rPr>
          <w:rFonts w:cs="David"/>
          <w:sz w:val="26"/>
          <w:rtl/>
        </w:rPr>
      </w:pPr>
      <w:r>
        <w:rPr>
          <w:rFonts w:cs="David"/>
          <w:sz w:val="26"/>
          <w:rtl/>
        </w:rPr>
        <w:t>לפיכך, מוצע לקבוע כי אי מילוי הוראות</w:t>
      </w:r>
      <w:r>
        <w:rPr>
          <w:rFonts w:cs="David"/>
          <w:sz w:val="26"/>
          <w:rtl/>
        </w:rPr>
        <w:t xml:space="preserve"> החוק על ידי מרכזי התעסוקה, יוביל לביטול הסמכות לקבל החלטה הפוגעת במשתתף.</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8(3), 8(4), 12(ב), 12(ג):</w:t>
      </w:r>
    </w:p>
    <w:p w:rsidR="00000000" w:rsidRDefault="004D1A3F">
      <w:pPr>
        <w:pStyle w:val="Hesber"/>
        <w:rPr>
          <w:rFonts w:cs="David"/>
          <w:sz w:val="26"/>
          <w:rtl/>
        </w:rPr>
      </w:pPr>
      <w:r>
        <w:rPr>
          <w:rFonts w:cs="David"/>
          <w:sz w:val="26"/>
          <w:rtl/>
        </w:rPr>
        <w:t>במנגנון לפיו פועלים היום מרכזי התעסוקה קיים ניגוד עניינים מובנה חמור. מחד גיסא, ניתנה לתאגידים (באמצעות מתכנני היעדים) סמכות לשלול את זכאותם של המשתת</w:t>
      </w:r>
      <w:r>
        <w:rPr>
          <w:rFonts w:cs="David"/>
          <w:sz w:val="26"/>
          <w:rtl/>
        </w:rPr>
        <w:t xml:space="preserve">פים לגמלת קיום של הבטחת הכנסה, המהווה את רשת הביטחון האחרונה של מנגנוני הרווחה. מאידך גיסא, על-פי נוסחת התגמול הכלכלית שנקבעה בחוזה שנחתם עמן, תלויים רווחיהן של החברות ישירות בחסכון בהוצאות הממשלה על אותן קצבאות, כולל חיסכון הנובע משלילת גמלאות. </w:t>
      </w:r>
    </w:p>
    <w:p w:rsidR="00000000" w:rsidRDefault="004D1A3F">
      <w:pPr>
        <w:pStyle w:val="Hesber"/>
        <w:rPr>
          <w:rFonts w:cs="David"/>
          <w:sz w:val="26"/>
          <w:rtl/>
        </w:rPr>
      </w:pPr>
      <w:r>
        <w:rPr>
          <w:rFonts w:cs="David"/>
          <w:sz w:val="26"/>
          <w:rtl/>
        </w:rPr>
        <w:t>בשני רכיב</w:t>
      </w:r>
      <w:r>
        <w:rPr>
          <w:rFonts w:cs="David"/>
          <w:sz w:val="26"/>
          <w:rtl/>
        </w:rPr>
        <w:t xml:space="preserve">י ניגוד העניינים נקבע מנגנון הסותר את מטרת החוק ואת המלצות הוועדה לרפורמה (ועדת תמיר), והיוצר מצב בו נשללות גמלאות משיקולי מקסום הרווח ולא מטעמים ענייניים. </w:t>
      </w:r>
    </w:p>
    <w:p w:rsidR="00000000" w:rsidRDefault="004D1A3F">
      <w:pPr>
        <w:pStyle w:val="Hesber"/>
        <w:rPr>
          <w:rFonts w:cs="David"/>
          <w:sz w:val="26"/>
          <w:rtl/>
        </w:rPr>
      </w:pPr>
      <w:r>
        <w:rPr>
          <w:rFonts w:cs="David"/>
          <w:sz w:val="26"/>
          <w:rtl/>
        </w:rPr>
        <w:t>מוצע לקבוע, בהתאם להמלצות ועדת תמיר, כי אישור הזכאות לגמלה לפי מבחן התעסוקה יקבע ע"י פקידי שירות הת</w:t>
      </w:r>
      <w:r>
        <w:rPr>
          <w:rFonts w:cs="David"/>
          <w:sz w:val="26"/>
          <w:rtl/>
        </w:rPr>
        <w:t>עסוקה.</w:t>
      </w:r>
    </w:p>
    <w:p w:rsidR="00000000" w:rsidRDefault="004D1A3F">
      <w:pPr>
        <w:pStyle w:val="Hesber"/>
        <w:rPr>
          <w:rFonts w:cs="David"/>
          <w:sz w:val="26"/>
          <w:rtl/>
        </w:rPr>
      </w:pPr>
    </w:p>
    <w:p w:rsidR="00000000" w:rsidRDefault="004D1A3F">
      <w:pPr>
        <w:pStyle w:val="Hesber"/>
        <w:rPr>
          <w:rFonts w:cs="David"/>
          <w:sz w:val="26"/>
          <w:rtl/>
        </w:rPr>
      </w:pPr>
      <w:r>
        <w:rPr>
          <w:rFonts w:cs="David"/>
          <w:sz w:val="26"/>
          <w:rtl/>
        </w:rPr>
        <w:t xml:space="preserve">לאור ההכרה בפסיקה בזכות לקיום בכבוד כזכות בעלת מעמד חוקתי, מוצע להבהיר לפקיד שירות התעסוקה את מכלול שיקוליו בעת דיון בגמלת הבטחת הכנסה, המהווה רשת בטחון אחרונה.  </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לסעיפים 9, 10:</w:t>
      </w:r>
    </w:p>
    <w:p w:rsidR="00000000" w:rsidRDefault="004D1A3F">
      <w:pPr>
        <w:pStyle w:val="Hesber"/>
        <w:rPr>
          <w:rFonts w:cs="David"/>
          <w:sz w:val="26"/>
          <w:rtl/>
        </w:rPr>
      </w:pPr>
      <w:r>
        <w:rPr>
          <w:rFonts w:cs="David"/>
          <w:sz w:val="26"/>
          <w:rtl/>
        </w:rPr>
        <w:t>מאז החלה התכנית לפעול, עולים בה כשלים רבים מבניים ואחרים, המגלים כי ל</w:t>
      </w:r>
      <w:r>
        <w:rPr>
          <w:rFonts w:cs="David"/>
          <w:sz w:val="26"/>
          <w:rtl/>
        </w:rPr>
        <w:t xml:space="preserve">א ניתן להמשיך ולהפעילה במתכונתה הקיימת. מתוך הכרה במשמעות קיצור תוקפה של התכנית, לא נקבע ביטולה לאלתר, אלא קיצור מועד תוקפה. </w:t>
      </w:r>
    </w:p>
    <w:p w:rsidR="00000000" w:rsidRDefault="004D1A3F">
      <w:pPr>
        <w:pStyle w:val="Hesber"/>
        <w:rPr>
          <w:rFonts w:cs="David"/>
          <w:sz w:val="26"/>
          <w:rtl/>
        </w:rPr>
      </w:pPr>
      <w:r>
        <w:rPr>
          <w:rFonts w:cs="David"/>
          <w:sz w:val="26"/>
          <w:rtl/>
        </w:rPr>
        <w:t>במצב זה, אין זה סביר גם כי היא תורחב בזמן או למרכזים נוספים מעבר ל-4 שכבר נפתחו.</w:t>
      </w:r>
    </w:p>
    <w:p w:rsidR="00000000" w:rsidRDefault="004D1A3F">
      <w:pPr>
        <w:pStyle w:val="Hesber"/>
        <w:rPr>
          <w:rFonts w:cs="David"/>
          <w:sz w:val="26"/>
          <w:rtl/>
        </w:rPr>
      </w:pPr>
    </w:p>
    <w:p w:rsidR="00000000" w:rsidRDefault="004D1A3F">
      <w:pPr>
        <w:pStyle w:val="Hesber"/>
        <w:rPr>
          <w:rFonts w:cs="David"/>
          <w:sz w:val="26"/>
          <w:u w:val="single"/>
          <w:rtl/>
        </w:rPr>
      </w:pPr>
      <w:r>
        <w:rPr>
          <w:rFonts w:cs="David"/>
          <w:sz w:val="26"/>
          <w:u w:val="single"/>
          <w:rtl/>
        </w:rPr>
        <w:t>לסעיף 11(1):</w:t>
      </w:r>
    </w:p>
    <w:p w:rsidR="00000000" w:rsidRDefault="004D1A3F">
      <w:pPr>
        <w:pStyle w:val="Hesber"/>
        <w:rPr>
          <w:rFonts w:cs="David"/>
          <w:sz w:val="26"/>
          <w:rtl/>
        </w:rPr>
      </w:pPr>
      <w:r>
        <w:rPr>
          <w:rFonts w:cs="David"/>
          <w:sz w:val="26"/>
          <w:rtl/>
        </w:rPr>
        <w:t>על פי המצב הקיים כיום, ובאופן ייחוד</w:t>
      </w:r>
      <w:r>
        <w:rPr>
          <w:rFonts w:cs="David"/>
          <w:sz w:val="26"/>
          <w:rtl/>
        </w:rPr>
        <w:t xml:space="preserve">י למשתתפי תוכנית מהל"ב בשונה ממקבלי הבטחת הכנסה בשירות התעסוקה, יהיה משתתף זכאי לגמלה חודשית רק אם ביצע את התוכנית האישית שנקבעה לו במלואה ובתוך כך, אם לא נעדר, היעדרות בלתי מאושרת, מעל ליומיים. כך שכל חיסור מעבר למניין זה, מביא לשלילה מוחלטת של הגמלה, אף </w:t>
      </w:r>
      <w:r>
        <w:rPr>
          <w:rFonts w:cs="David"/>
          <w:sz w:val="26"/>
          <w:rtl/>
        </w:rPr>
        <w:t xml:space="preserve">אם מדובר בהיעדרות אך של יום נוסף. </w:t>
      </w:r>
    </w:p>
    <w:p w:rsidR="00000000" w:rsidRDefault="004D1A3F">
      <w:pPr>
        <w:pStyle w:val="Hesber"/>
        <w:rPr>
          <w:rFonts w:cs="David"/>
          <w:sz w:val="26"/>
          <w:rtl/>
        </w:rPr>
      </w:pPr>
    </w:p>
    <w:p w:rsidR="00000000" w:rsidRDefault="004D1A3F">
      <w:pPr>
        <w:pStyle w:val="Hesber"/>
        <w:rPr>
          <w:rFonts w:cs="David"/>
          <w:sz w:val="26"/>
          <w:rtl/>
        </w:rPr>
      </w:pPr>
      <w:r>
        <w:rPr>
          <w:rFonts w:cs="David"/>
          <w:sz w:val="26"/>
          <w:rtl/>
        </w:rPr>
        <w:t>משום שהדרישות שאותן מציבה התוכנית בפני המשתתפים הן קשיחות ומחייבות התייצבות אינטנסיבית מחד גיסא, ומשום שמדובר בגמלת קיום שאין בלתה, מאידך גיסא, הסדר זה אינו מידתי, ואינו עומד בתנאי פסקת ההגבלה של חוק יסוד: כבוד האדם וחיר</w:t>
      </w:r>
      <w:r>
        <w:rPr>
          <w:rFonts w:cs="David"/>
          <w:sz w:val="26"/>
          <w:rtl/>
        </w:rPr>
        <w:t>ותו, שגמלת הקיום מוגנת לפיו.</w:t>
      </w:r>
    </w:p>
    <w:p w:rsidR="00000000" w:rsidRDefault="004D1A3F">
      <w:pPr>
        <w:pStyle w:val="Hesber"/>
        <w:rPr>
          <w:rFonts w:cs="David"/>
          <w:sz w:val="26"/>
          <w:rtl/>
        </w:rPr>
      </w:pPr>
      <w:r>
        <w:rPr>
          <w:rFonts w:cs="David"/>
          <w:sz w:val="26"/>
          <w:rtl/>
        </w:rPr>
        <w:t>לפיכך מוצע מנגנון לפיו שלילת הגמלה תעשה באופן מידתי, בהתאם למספר הימים שאותם החסיר משתתף.</w:t>
      </w:r>
    </w:p>
    <w:p w:rsidR="00000000" w:rsidRDefault="004D1A3F">
      <w:pPr>
        <w:pStyle w:val="Hesber"/>
        <w:rPr>
          <w:rFonts w:cs="David"/>
          <w:sz w:val="26"/>
          <w:rtl/>
        </w:rPr>
      </w:pPr>
    </w:p>
    <w:p w:rsidR="00000000" w:rsidRDefault="004D1A3F">
      <w:pPr>
        <w:pStyle w:val="Hesber"/>
        <w:rPr>
          <w:rFonts w:cs="David"/>
          <w:sz w:val="26"/>
          <w:rtl/>
        </w:rPr>
      </w:pPr>
    </w:p>
    <w:p w:rsidR="00000000" w:rsidRDefault="004D1A3F">
      <w:pPr>
        <w:pStyle w:val="Hesber"/>
        <w:rPr>
          <w:rFonts w:cs="David"/>
          <w:sz w:val="26"/>
          <w:rtl/>
        </w:rPr>
      </w:pPr>
      <w:r>
        <w:rPr>
          <w:rFonts w:cs="David"/>
          <w:sz w:val="26"/>
          <w:rtl/>
        </w:rPr>
        <w:t>הצעות חוק זהות הונחו על שולחן הכנסת השבע-עשרה על ידי חברי הכנסת ליה שמטוב, מרינה סולודקין ומיכאל נודלמן (פ/1195/17) וחברת הכנסת שלי יחי</w:t>
      </w:r>
      <w:r>
        <w:rPr>
          <w:rFonts w:cs="David"/>
          <w:sz w:val="26"/>
          <w:rtl/>
        </w:rPr>
        <w:t xml:space="preserve">מוביץ (פ/1969/17). </w:t>
      </w:r>
    </w:p>
    <w:p w:rsidR="00000000" w:rsidRDefault="004D1A3F">
      <w:pPr>
        <w:rPr>
          <w:rtl/>
        </w:rPr>
      </w:pPr>
    </w:p>
    <w:p w:rsidR="00000000" w:rsidRDefault="004D1A3F">
      <w:pPr>
        <w:rPr>
          <w:rtl/>
        </w:rPr>
      </w:pPr>
    </w:p>
    <w:p w:rsidR="00000000" w:rsidRDefault="004D1A3F">
      <w:pPr>
        <w:spacing w:line="360" w:lineRule="auto"/>
        <w:rPr>
          <w:rFonts w:cs="David"/>
          <w:sz w:val="26"/>
          <w:szCs w:val="26"/>
          <w:rtl/>
        </w:rPr>
      </w:pPr>
      <w:r>
        <w:rPr>
          <w:rFonts w:cs="David"/>
          <w:sz w:val="26"/>
          <w:szCs w:val="26"/>
          <w:rtl/>
        </w:rPr>
        <w:t>---------------------------------</w:t>
      </w:r>
    </w:p>
    <w:p w:rsidR="00000000" w:rsidRDefault="004D1A3F">
      <w:pPr>
        <w:spacing w:line="360" w:lineRule="auto"/>
        <w:rPr>
          <w:rFonts w:cs="David"/>
          <w:sz w:val="26"/>
          <w:szCs w:val="26"/>
          <w:rtl/>
        </w:rPr>
      </w:pPr>
      <w:r>
        <w:rPr>
          <w:rFonts w:cs="David"/>
          <w:sz w:val="26"/>
          <w:szCs w:val="26"/>
          <w:rtl/>
        </w:rPr>
        <w:t>הוגשה ליו"ר הכנסת והסגנים</w:t>
      </w:r>
    </w:p>
    <w:p w:rsidR="00000000" w:rsidRDefault="004D1A3F">
      <w:pPr>
        <w:spacing w:line="360" w:lineRule="auto"/>
        <w:rPr>
          <w:rFonts w:cs="David"/>
          <w:sz w:val="26"/>
          <w:szCs w:val="26"/>
          <w:rtl/>
        </w:rPr>
      </w:pPr>
      <w:r>
        <w:rPr>
          <w:rFonts w:cs="David"/>
          <w:sz w:val="26"/>
          <w:szCs w:val="26"/>
          <w:rtl/>
        </w:rPr>
        <w:t>והונחה על שולחן הכנסת ביום</w:t>
      </w:r>
    </w:p>
    <w:p w:rsidR="00000000" w:rsidRDefault="004D1A3F">
      <w:pPr>
        <w:spacing w:line="360" w:lineRule="auto"/>
        <w:rPr>
          <w:rFonts w:cs="David"/>
          <w:sz w:val="26"/>
          <w:szCs w:val="26"/>
          <w:rtl/>
        </w:rPr>
      </w:pPr>
      <w:r>
        <w:rPr>
          <w:rFonts w:cs="David"/>
          <w:sz w:val="26"/>
          <w:szCs w:val="26"/>
          <w:rtl/>
        </w:rPr>
        <w:t>כ"ה בטבת התשס"ז-15.1.07</w:t>
      </w:r>
    </w:p>
    <w:sectPr w:rsidR="00000000">
      <w:headerReference w:type="default" r:id="rId7"/>
      <w:pgSz w:w="11907" w:h="16840" w:code="9"/>
      <w:pgMar w:top="1134" w:right="1134" w:bottom="709"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D1A3F">
      <w:r>
        <w:separator/>
      </w:r>
    </w:p>
  </w:endnote>
  <w:endnote w:type="continuationSeparator" w:id="0">
    <w:p w:rsidR="00000000" w:rsidRDefault="004D1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D1A3F">
      <w:r>
        <w:separator/>
      </w:r>
    </w:p>
  </w:footnote>
  <w:footnote w:type="continuationSeparator" w:id="0">
    <w:p w:rsidR="00000000" w:rsidRDefault="004D1A3F">
      <w:r>
        <w:continuationSeparator/>
      </w:r>
    </w:p>
  </w:footnote>
  <w:footnote w:type="continuationNotice" w:id="1">
    <w:p w:rsidR="00000000" w:rsidRDefault="004D1A3F"/>
  </w:footnote>
  <w:footnote w:id="2">
    <w:p w:rsidR="00000000" w:rsidRDefault="004D1A3F">
      <w:pPr>
        <w:pStyle w:val="a5"/>
      </w:pPr>
      <w:r>
        <w:rPr>
          <w:rStyle w:val="a7"/>
          <w:rFonts w:cs="David"/>
        </w:rPr>
        <w:footnoteRef/>
      </w:r>
      <w:r>
        <w:rPr>
          <w:rFonts w:cs="David"/>
          <w:sz w:val="20"/>
          <w:rtl/>
        </w:rPr>
        <w:t xml:space="preserve"> ס"ח התשס"ד, עמ' 70. </w:t>
      </w:r>
    </w:p>
  </w:footnote>
  <w:footnote w:id="3">
    <w:p w:rsidR="00000000" w:rsidRDefault="004D1A3F">
      <w:pPr>
        <w:pStyle w:val="a5"/>
      </w:pPr>
      <w:r>
        <w:rPr>
          <w:rStyle w:val="a7"/>
          <w:rFonts w:cs="David"/>
        </w:rPr>
        <w:footnoteRef/>
      </w:r>
      <w:r>
        <w:rPr>
          <w:rFonts w:cs="David"/>
          <w:sz w:val="20"/>
          <w:rtl/>
        </w:rPr>
        <w:t xml:space="preserve"> ס"ח התשמ"א, עמ' 30. </w:t>
      </w:r>
    </w:p>
  </w:footnote>
  <w:footnote w:id="4">
    <w:p w:rsidR="00000000" w:rsidRDefault="004D1A3F">
      <w:pPr>
        <w:pStyle w:val="a5"/>
      </w:pPr>
      <w:r>
        <w:rPr>
          <w:rStyle w:val="a7"/>
          <w:rFonts w:cs="David"/>
        </w:rPr>
        <w:footnoteRef/>
      </w:r>
      <w:r>
        <w:rPr>
          <w:rFonts w:cs="David"/>
          <w:sz w:val="20"/>
          <w:rtl/>
        </w:rPr>
        <w:t xml:space="preserve"> ס"ח התשמ"א, עמ' 30. </w:t>
      </w:r>
    </w:p>
  </w:footnote>
  <w:footnote w:id="5">
    <w:p w:rsidR="00000000" w:rsidRDefault="004D1A3F">
      <w:pPr>
        <w:pStyle w:val="a5"/>
      </w:pPr>
      <w:r>
        <w:rPr>
          <w:rStyle w:val="a7"/>
          <w:rFonts w:cs="David"/>
        </w:rPr>
        <w:footnoteRef/>
      </w:r>
      <w:r>
        <w:rPr>
          <w:rFonts w:cs="David"/>
          <w:sz w:val="20"/>
          <w:rtl/>
        </w:rPr>
        <w:t xml:space="preserve"> ס"ח התש"ט, עמ' 287.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D1A3F">
    <w:pPr>
      <w:pStyle w:val="a9"/>
      <w:framePr w:wrap="auto" w:vAnchor="text" w:hAnchor="text" w:xAlign="center" w:y="1"/>
      <w:rPr>
        <w:rStyle w:val="af1"/>
      </w:rPr>
    </w:pPr>
    <w:r>
      <w:rPr>
        <w:rStyle w:val="af1"/>
      </w:rPr>
      <w:fldChar w:fldCharType="begin"/>
    </w:r>
    <w:r>
      <w:rPr>
        <w:rStyle w:val="af1"/>
      </w:rPr>
      <w:instrText xml:space="preserve">PAGE  </w:instrText>
    </w:r>
    <w:r>
      <w:rPr>
        <w:rStyle w:val="af1"/>
      </w:rPr>
      <w:fldChar w:fldCharType="separate"/>
    </w:r>
    <w:r>
      <w:rPr>
        <w:rStyle w:val="af1"/>
        <w:noProof/>
        <w:rtl/>
      </w:rPr>
      <w:t>2</w:t>
    </w:r>
    <w:r>
      <w:rPr>
        <w:rStyle w:val="af1"/>
      </w:rPr>
      <w:fldChar w:fldCharType="end"/>
    </w:r>
  </w:p>
  <w:p w:rsidR="00000000" w:rsidRDefault="004D1A3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5860lsCopyOriginal.doc"/>
    <w:docVar w:name="StartMode" w:val="2"/>
  </w:docVars>
  <w:rsids>
    <w:rsidRoot w:val="004D1A3F"/>
    <w:rsid w:val="004D1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endnote tex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pPr>
      <w:widowControl w:val="0"/>
      <w:autoSpaceDE w:val="0"/>
      <w:autoSpaceDN w:val="0"/>
      <w:bidi/>
      <w:adjustRightInd w:val="0"/>
      <w:snapToGrid w:val="0"/>
      <w:spacing w:after="0" w:line="360" w:lineRule="auto"/>
      <w:textAlignment w:val="center"/>
    </w:pPr>
    <w:rPr>
      <w:rFonts w:ascii="Arial" w:eastAsia="Arial Unicode MS" w:hAnsi="Arial" w:cs="Arial Unicode MS"/>
      <w:color w:val="000000"/>
      <w:sz w:val="20"/>
      <w:szCs w:val="26"/>
      <w:lang w:eastAsia="ja-JP"/>
    </w:rPr>
  </w:style>
  <w:style w:type="paragraph" w:customStyle="1" w:styleId="Cover1-Reshumot">
    <w:name w:val="Cover 1-Reshumot"/>
    <w:basedOn w:val="Noparagraphstyle"/>
    <w:uiPriority w:val="99"/>
    <w:pPr>
      <w:tabs>
        <w:tab w:val="left" w:pos="1191"/>
        <w:tab w:val="left" w:pos="1587"/>
      </w:tabs>
      <w:spacing w:before="240" w:after="240" w:line="480" w:lineRule="auto"/>
      <w:jc w:val="center"/>
    </w:pPr>
  </w:style>
  <w:style w:type="paragraph" w:customStyle="1" w:styleId="Cover2-HatzaotHok">
    <w:name w:val="Cover 2-HatzaotHok"/>
    <w:basedOn w:val="Cover1-Reshumot"/>
    <w:uiPriority w:val="99"/>
    <w:rPr>
      <w:sz w:val="36"/>
      <w:szCs w:val="52"/>
    </w:rPr>
  </w:style>
  <w:style w:type="paragraph" w:customStyle="1" w:styleId="Cover3-Haknesset">
    <w:name w:val="Cover 3-Haknesset"/>
    <w:basedOn w:val="Cover1-Reshumot"/>
    <w:uiPriority w:val="99"/>
    <w:rPr>
      <w:b/>
      <w:bCs/>
      <w:spacing w:val="60"/>
    </w:rPr>
  </w:style>
  <w:style w:type="paragraph" w:customStyle="1" w:styleId="Cover4-Date">
    <w:name w:val="Cover 4-Date"/>
    <w:basedOn w:val="Noparagraphstyle"/>
    <w:uiPriority w:val="99"/>
    <w:pPr>
      <w:pBdr>
        <w:bottom w:val="single" w:sz="4" w:space="0" w:color="auto"/>
      </w:pBdr>
      <w:tabs>
        <w:tab w:val="center" w:pos="4820"/>
        <w:tab w:val="right" w:pos="9639"/>
      </w:tabs>
      <w:spacing w:before="240" w:after="240"/>
    </w:pPr>
  </w:style>
  <w:style w:type="paragraph" w:customStyle="1" w:styleId="TOC">
    <w:name w:val="TOC"/>
    <w:basedOn w:val="Noparagraphstyle"/>
    <w:uiPriority w:val="99"/>
    <w:pPr>
      <w:tabs>
        <w:tab w:val="left" w:leader="dot" w:pos="8789"/>
      </w:tabs>
      <w:spacing w:before="120"/>
      <w:ind w:left="284" w:right="284"/>
    </w:pPr>
  </w:style>
  <w:style w:type="paragraph" w:customStyle="1" w:styleId="TOCpg">
    <w:name w:val="TOC pg"/>
    <w:basedOn w:val="TOC"/>
    <w:uiPriority w:val="99"/>
    <w:pPr>
      <w:spacing w:after="120"/>
      <w:ind w:right="567"/>
      <w:jc w:val="right"/>
    </w:pPr>
  </w:style>
  <w:style w:type="paragraph" w:customStyle="1" w:styleId="HeadMitparsemetBaze">
    <w:name w:val="Head MitparsemetBaze"/>
    <w:basedOn w:val="Noparagraphstyle"/>
    <w:uiPriority w:val="99"/>
    <w:pPr>
      <w:keepNext/>
      <w:keepLines/>
      <w:pageBreakBefore/>
      <w:spacing w:before="480"/>
      <w:jc w:val="both"/>
    </w:pPr>
    <w:rPr>
      <w:b/>
      <w:bCs/>
    </w:rPr>
  </w:style>
  <w:style w:type="paragraph" w:customStyle="1" w:styleId="HeadHatzaotHok">
    <w:name w:val="Head HatzaotHok"/>
    <w:basedOn w:val="Noparagraphstyle"/>
    <w:uiPriority w:val="99"/>
    <w:pPr>
      <w:keepNext/>
      <w:keepLines/>
      <w:spacing w:before="240"/>
      <w:jc w:val="center"/>
    </w:pPr>
    <w:rPr>
      <w:b/>
      <w:bCs/>
    </w:rPr>
  </w:style>
  <w:style w:type="paragraph" w:customStyle="1" w:styleId="HeadHatzaotHok4Futer">
    <w:name w:val="Head HatzaotHok4Futer"/>
    <w:basedOn w:val="HeadHatzaotHok"/>
    <w:uiPriority w:val="99"/>
    <w:pPr>
      <w:spacing w:before="120" w:after="120"/>
    </w:pPr>
    <w:rPr>
      <w:color w:val="FF0000"/>
      <w:w w:val="80"/>
    </w:rPr>
  </w:style>
  <w:style w:type="paragraph" w:styleId="a3">
    <w:name w:val="endnote text"/>
    <w:basedOn w:val="Ragil"/>
    <w:link w:val="a4"/>
    <w:uiPriority w:val="99"/>
    <w:pPr>
      <w:ind w:left="227" w:hanging="227"/>
    </w:pPr>
    <w:rPr>
      <w:sz w:val="14"/>
      <w:szCs w:val="22"/>
    </w:rPr>
  </w:style>
  <w:style w:type="character" w:customStyle="1" w:styleId="a4">
    <w:name w:val="טקסט הערת סיום תו"/>
    <w:basedOn w:val="a0"/>
    <w:link w:val="a3"/>
    <w:uiPriority w:val="99"/>
    <w:semiHidden/>
    <w:rPr>
      <w:rFonts w:ascii="Times New Roman" w:hAnsi="Times New Roman" w:cs="Times New Roman"/>
      <w:sz w:val="20"/>
      <w:szCs w:val="20"/>
      <w:lang w:eastAsia="he-IL"/>
    </w:rPr>
  </w:style>
  <w:style w:type="paragraph" w:customStyle="1" w:styleId="TableText">
    <w:name w:val="Table Text"/>
    <w:basedOn w:val="Ragil"/>
    <w:uiPriority w:val="99"/>
    <w:pPr>
      <w:keepLines/>
      <w:tabs>
        <w:tab w:val="left" w:pos="624"/>
        <w:tab w:val="left" w:pos="1247"/>
      </w:tabs>
      <w:ind w:right="57" w:firstLine="0"/>
    </w:pPr>
  </w:style>
  <w:style w:type="paragraph" w:customStyle="1" w:styleId="TableSideHeading">
    <w:name w:val="Table SideHeading"/>
    <w:basedOn w:val="TableText"/>
    <w:uiPriority w:val="99"/>
  </w:style>
  <w:style w:type="paragraph" w:customStyle="1" w:styleId="TableBlock">
    <w:name w:val="Table Block"/>
    <w:basedOn w:val="TableText"/>
    <w:uiPriority w:val="99"/>
    <w:pPr>
      <w:ind w:right="0"/>
      <w:jc w:val="both"/>
    </w:pPr>
  </w:style>
  <w:style w:type="paragraph" w:customStyle="1" w:styleId="TableHead">
    <w:name w:val="Table Head"/>
    <w:basedOn w:val="TableText"/>
    <w:uiPriority w:val="99"/>
    <w:pPr>
      <w:ind w:right="0"/>
      <w:jc w:val="center"/>
    </w:pPr>
    <w:rPr>
      <w:b/>
      <w:bCs/>
    </w:rPr>
  </w:style>
  <w:style w:type="paragraph" w:customStyle="1" w:styleId="TableText2">
    <w:name w:val="Table Text2"/>
    <w:basedOn w:val="TableText"/>
    <w:uiPriority w:val="99"/>
  </w:style>
  <w:style w:type="paragraph" w:customStyle="1" w:styleId="TableInnerSideHeading">
    <w:name w:val="Table InnerSideHeading"/>
    <w:basedOn w:val="TableSideHeading"/>
    <w:uiPriority w:val="99"/>
  </w:style>
  <w:style w:type="paragraph" w:customStyle="1" w:styleId="Hesber">
    <w:name w:val="Hesber"/>
    <w:basedOn w:val="Ragil"/>
    <w:uiPriority w:val="99"/>
    <w:pPr>
      <w:jc w:val="both"/>
    </w:pPr>
  </w:style>
  <w:style w:type="paragraph" w:styleId="a5">
    <w:name w:val="footnote text"/>
    <w:basedOn w:val="Ragil"/>
    <w:link w:val="a6"/>
    <w:autoRedefine/>
    <w:uiPriority w:val="99"/>
    <w:pPr>
      <w:spacing w:line="240" w:lineRule="auto"/>
      <w:ind w:left="227" w:hanging="227"/>
    </w:pPr>
    <w:rPr>
      <w:sz w:val="14"/>
      <w:szCs w:val="20"/>
    </w:rPr>
  </w:style>
  <w:style w:type="character" w:customStyle="1" w:styleId="a6">
    <w:name w:val="טקסט הערת שוליים תו"/>
    <w:basedOn w:val="a0"/>
    <w:link w:val="a5"/>
    <w:uiPriority w:val="99"/>
    <w:semiHidden/>
    <w:rPr>
      <w:rFonts w:ascii="Times New Roman" w:hAnsi="Times New Roman" w:cs="Times New Roman"/>
      <w:sz w:val="20"/>
      <w:szCs w:val="20"/>
      <w:lang w:eastAsia="he-IL"/>
    </w:rPr>
  </w:style>
  <w:style w:type="character" w:styleId="a7">
    <w:name w:val="footnote reference"/>
    <w:basedOn w:val="a0"/>
    <w:uiPriority w:val="99"/>
    <w:rPr>
      <w:rFonts w:cs="Times New Roman"/>
      <w:vertAlign w:val="superscript"/>
    </w:rPr>
  </w:style>
  <w:style w:type="paragraph" w:customStyle="1" w:styleId="HesberHeading">
    <w:name w:val="Hesber Heading"/>
    <w:basedOn w:val="Hesber"/>
    <w:uiPriority w:val="99"/>
    <w:pPr>
      <w:keepNext/>
      <w:keepLines/>
      <w:spacing w:before="240"/>
      <w:ind w:firstLine="0"/>
    </w:pPr>
    <w:rPr>
      <w:b/>
      <w:bCs/>
    </w:rPr>
  </w:style>
  <w:style w:type="paragraph" w:customStyle="1" w:styleId="HesberWriters">
    <w:name w:val="Hesber Writers"/>
    <w:basedOn w:val="Hesber"/>
    <w:uiPriority w:val="99"/>
    <w:pPr>
      <w:spacing w:before="120" w:after="6000"/>
      <w:ind w:left="1418" w:firstLine="0"/>
      <w:jc w:val="right"/>
    </w:pPr>
    <w:rPr>
      <w:b/>
      <w:bCs/>
    </w:rPr>
  </w:style>
  <w:style w:type="paragraph" w:customStyle="1" w:styleId="Hesber1st">
    <w:name w:val="Hesber 1st"/>
    <w:basedOn w:val="Hesber"/>
    <w:uiPriority w:val="99"/>
    <w:pPr>
      <w:tabs>
        <w:tab w:val="left" w:pos="680"/>
        <w:tab w:val="left" w:pos="1020"/>
      </w:tabs>
      <w:ind w:firstLine="0"/>
    </w:pPr>
  </w:style>
  <w:style w:type="character" w:styleId="a8">
    <w:name w:val="endnote reference"/>
    <w:basedOn w:val="a0"/>
    <w:uiPriority w:val="99"/>
    <w:rPr>
      <w:rFonts w:cs="Times New Roman"/>
      <w:vertAlign w:val="superscript"/>
    </w:rPr>
  </w:style>
  <w:style w:type="paragraph" w:customStyle="1" w:styleId="TableBlockOutdent">
    <w:name w:val="Table BlockOutdent"/>
    <w:basedOn w:val="TableBlock"/>
    <w:uiPriority w:val="99"/>
    <w:pPr>
      <w:ind w:left="624" w:hanging="624"/>
    </w:pPr>
  </w:style>
  <w:style w:type="paragraph" w:styleId="a9">
    <w:name w:val="header"/>
    <w:basedOn w:val="a"/>
    <w:link w:val="aa"/>
    <w:uiPriority w:val="99"/>
    <w:pPr>
      <w:tabs>
        <w:tab w:val="center" w:pos="4153"/>
        <w:tab w:val="right" w:pos="8306"/>
      </w:tabs>
    </w:pPr>
  </w:style>
  <w:style w:type="character" w:customStyle="1" w:styleId="aa">
    <w:name w:val="כותרת עליונה תו"/>
    <w:basedOn w:val="a0"/>
    <w:link w:val="a9"/>
    <w:uiPriority w:val="99"/>
    <w:semiHidden/>
    <w:rPr>
      <w:rFonts w:ascii="Times New Roman" w:hAnsi="Times New Roman" w:cs="Times New Roman"/>
      <w:sz w:val="24"/>
      <w:szCs w:val="24"/>
      <w:lang w:eastAsia="he-IL"/>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Times New Roman" w:hAnsi="Times New Roman" w:cs="Times New Roman"/>
      <w:sz w:val="24"/>
      <w:szCs w:val="24"/>
      <w:lang w:eastAsia="he-IL"/>
    </w:rPr>
  </w:style>
  <w:style w:type="paragraph" w:customStyle="1" w:styleId="HeadDivreiHesber">
    <w:name w:val="Head DivreiHesber"/>
    <w:basedOn w:val="Ragil"/>
    <w:uiPriority w:val="99"/>
    <w:pPr>
      <w:spacing w:before="360" w:after="120"/>
      <w:ind w:firstLine="0"/>
      <w:jc w:val="center"/>
    </w:pPr>
    <w:rPr>
      <w:b/>
      <w:spacing w:val="40"/>
    </w:rPr>
  </w:style>
  <w:style w:type="paragraph" w:customStyle="1" w:styleId="Ragil">
    <w:name w:val="Ragil"/>
    <w:basedOn w:val="Noparagraphstyle"/>
    <w:uiPriority w:val="99"/>
    <w:pPr>
      <w:ind w:firstLine="340"/>
    </w:pPr>
  </w:style>
  <w:style w:type="paragraph" w:styleId="ad">
    <w:name w:val="Title"/>
    <w:basedOn w:val="a"/>
    <w:link w:val="ae"/>
    <w:uiPriority w:val="99"/>
    <w:qFormat/>
    <w:pPr>
      <w:jc w:val="center"/>
    </w:pPr>
    <w:rPr>
      <w:rFonts w:eastAsia="Times New Roman"/>
      <w:b/>
      <w:bCs/>
      <w:sz w:val="28"/>
      <w:szCs w:val="28"/>
      <w:u w:val="single"/>
    </w:rPr>
  </w:style>
  <w:style w:type="character" w:customStyle="1" w:styleId="ae">
    <w:name w:val="כותרת טקסט תו"/>
    <w:basedOn w:val="a0"/>
    <w:link w:val="ad"/>
    <w:uiPriority w:val="10"/>
    <w:rPr>
      <w:rFonts w:asciiTheme="majorHAnsi" w:eastAsiaTheme="majorEastAsia" w:hAnsiTheme="majorHAnsi" w:cstheme="majorBidi"/>
      <w:b/>
      <w:bCs/>
      <w:kern w:val="28"/>
      <w:sz w:val="32"/>
      <w:szCs w:val="32"/>
      <w:lang w:eastAsia="he-IL"/>
    </w:rPr>
  </w:style>
  <w:style w:type="paragraph" w:styleId="2">
    <w:name w:val="Body Text 2"/>
    <w:basedOn w:val="a"/>
    <w:link w:val="20"/>
    <w:uiPriority w:val="99"/>
    <w:pPr>
      <w:ind w:right="2880"/>
      <w:jc w:val="both"/>
    </w:pPr>
    <w:rPr>
      <w:rFonts w:eastAsia="Times New Roman"/>
      <w:sz w:val="34"/>
      <w:szCs w:val="32"/>
      <w:lang w:eastAsia="zh-CN"/>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 w:type="paragraph" w:styleId="af">
    <w:name w:val="Body Text"/>
    <w:basedOn w:val="a"/>
    <w:link w:val="af0"/>
    <w:uiPriority w:val="99"/>
    <w:pPr>
      <w:spacing w:line="360" w:lineRule="auto"/>
      <w:jc w:val="both"/>
    </w:pPr>
    <w:rPr>
      <w:rFonts w:eastAsia="Times New Roman"/>
      <w:szCs w:val="16"/>
      <w:lang w:eastAsia="en-US"/>
    </w:rPr>
  </w:style>
  <w:style w:type="character" w:customStyle="1" w:styleId="af0">
    <w:name w:val="גוף טקסט תו"/>
    <w:basedOn w:val="a0"/>
    <w:link w:val="af"/>
    <w:uiPriority w:val="99"/>
    <w:semiHidden/>
    <w:rPr>
      <w:rFonts w:ascii="Times New Roman" w:hAnsi="Times New Roman" w:cs="Times New Roman"/>
      <w:sz w:val="24"/>
      <w:szCs w:val="24"/>
      <w:lang w:eastAsia="he-IL"/>
    </w:rPr>
  </w:style>
  <w:style w:type="paragraph" w:styleId="3">
    <w:name w:val="Body Text 3"/>
    <w:basedOn w:val="a"/>
    <w:link w:val="30"/>
    <w:uiPriority w:val="99"/>
    <w:pPr>
      <w:spacing w:line="360" w:lineRule="auto"/>
      <w:ind w:right="360"/>
      <w:jc w:val="both"/>
    </w:pPr>
    <w:rPr>
      <w:rFonts w:eastAsia="Times New Roman"/>
      <w:lang w:eastAsia="en-US"/>
    </w:rPr>
  </w:style>
  <w:style w:type="character" w:customStyle="1" w:styleId="30">
    <w:name w:val="גוף טקסט 3 תו"/>
    <w:basedOn w:val="a0"/>
    <w:link w:val="3"/>
    <w:uiPriority w:val="99"/>
    <w:semiHidden/>
    <w:rPr>
      <w:rFonts w:ascii="Times New Roman" w:hAnsi="Times New Roman" w:cs="Times New Roman"/>
      <w:sz w:val="16"/>
      <w:szCs w:val="16"/>
      <w:lang w:eastAsia="he-IL"/>
    </w:rPr>
  </w:style>
  <w:style w:type="character" w:styleId="af1">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2870</Words>
  <Characters>14350</Characters>
  <Application>Microsoft Office Word</Application>
  <DocSecurity>0</DocSecurity>
  <Lines>119</Lines>
  <Paragraphs>34</Paragraphs>
  <ScaleCrop>false</ScaleCrop>
  <Company> </Company>
  <LinksUpToDate>false</LinksUpToDate>
  <CharactersWithSpaces>17186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(תוכנית מהל"ב), התשס"ז-2007</dc:title>
  <dc:subject/>
  <dc:creator>ozer_shemtov2</dc:creator>
  <cp:keywords/>
  <dc:description/>
  <cp:lastModifiedBy>שמואל כוכב</cp:lastModifiedBy>
  <cp:revision>2</cp:revision>
  <cp:lastPrinted>2007-01-16T17:23:00Z</cp:lastPrinted>
  <dcterms:created xsi:type="dcterms:W3CDTF">2015-02-03T17:19:00Z</dcterms:created>
  <dcterms:modified xsi:type="dcterms:W3CDTF">2015-02-03T17:19:00Z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85</vt:lpwstr>
  </property>
  <property fmtid="{D5CDD505-2E9C-101B-9397-08002B2CF9AE}" pid="3" name="AutoNumber">
    <vt:lpwstr>00491607</vt:lpwstr>
  </property>
  <property fmtid="{D5CDD505-2E9C-101B-9397-08002B2CF9AE}" pid="4" name="מספר הצעת חוק למיון">
    <vt:lpwstr>1979</vt:lpwstr>
  </property>
  <property fmtid="{D5CDD505-2E9C-101B-9397-08002B2CF9AE}" pid="5" name="SDDocDate">
    <vt:lpwstr>2007-01-17T00:00:00Z</vt:lpwstr>
  </property>
  <property fmtid="{D5CDD505-2E9C-101B-9397-08002B2CF9AE}" pid="6" name="SDHebDate">
    <vt:lpwstr>כ"ז בטבת, התשס"ז</vt:lpwstr>
  </property>
  <property fmtid="{D5CDD505-2E9C-101B-9397-08002B2CF9AE}" pid="7" name="SDCategories">
    <vt:lpwstr>:דף הבית:נושאים:חקיקה:נוסח לדיון מוקדם;#</vt:lpwstr>
  </property>
  <property fmtid="{D5CDD505-2E9C-101B-9397-08002B2CF9AE}" pid="8" name="תאריך הנחה">
    <vt:lpwstr/>
  </property>
  <property fmtid="{D5CDD505-2E9C-101B-9397-08002B2CF9AE}" pid="9" name="Vaada">
    <vt:lpwstr/>
  </property>
  <property fmtid="{D5CDD505-2E9C-101B-9397-08002B2CF9AE}" pid="10" name="HebrewDate">
    <vt:lpwstr/>
  </property>
  <property fmtid="{D5CDD505-2E9C-101B-9397-08002B2CF9AE}" pid="11" name="SDAuthor">
    <vt:lpwstr>לילך יעיש</vt:lpwstr>
  </property>
  <property fmtid="{D5CDD505-2E9C-101B-9397-08002B2CF9AE}" pid="12" name="MechaberMismach">
    <vt:lpwstr/>
  </property>
  <property fmtid="{D5CDD505-2E9C-101B-9397-08002B2CF9AE}" pid="13" name="MisHatzaatChok">
    <vt:lpwstr>פ/1979/17</vt:lpwstr>
  </property>
  <property fmtid="{D5CDD505-2E9C-101B-9397-08002B2CF9AE}" pid="14" name="YozemHatzaa_ChakList">
    <vt:lpwstr>ליה שמטוב</vt:lpwstr>
  </property>
  <property fmtid="{D5CDD505-2E9C-101B-9397-08002B2CF9AE}" pid="15" name="SDRemark">
    <vt:lpwstr/>
  </property>
  <property fmtid="{D5CDD505-2E9C-101B-9397-08002B2CF9AE}" pid="16" name="SDOfflineTo">
    <vt:lpwstr/>
  </property>
  <property fmtid="{D5CDD505-2E9C-101B-9397-08002B2CF9AE}" pid="17" name="SDDistList">
    <vt:lpwstr/>
  </property>
  <property fmtid="{D5CDD505-2E9C-101B-9397-08002B2CF9AE}" pid="18" name="SDDistDate">
    <vt:lpwstr/>
  </property>
  <property fmtid="{D5CDD505-2E9C-101B-9397-08002B2CF9AE}" pid="19" name="SDOriginalID">
    <vt:lpwstr/>
  </property>
  <property fmtid="{D5CDD505-2E9C-101B-9397-08002B2CF9AE}" pid="20" name="SDSenderName">
    <vt:lpwstr/>
  </property>
  <property fmtid="{D5CDD505-2E9C-101B-9397-08002B2CF9AE}" pid="21" name="SDToList">
    <vt:lpwstr/>
  </property>
  <property fmtid="{D5CDD505-2E9C-101B-9397-08002B2CF9AE}" pid="22" name="SDCCList">
    <vt:lpwstr/>
  </property>
  <property fmtid="{D5CDD505-2E9C-101B-9397-08002B2CF9AE}" pid="23" name="STHasReminders">
    <vt:lpwstr>0</vt:lpwstr>
  </property>
  <property fmtid="{D5CDD505-2E9C-101B-9397-08002B2CF9AE}" pid="24" name="SDLink">
    <vt:lpwstr>, </vt:lpwstr>
  </property>
  <property fmtid="{D5CDD505-2E9C-101B-9397-08002B2CF9AE}" pid="25" name="Num_Gim1">
    <vt:lpwstr/>
  </property>
  <property fmtid="{D5CDD505-2E9C-101B-9397-08002B2CF9AE}" pid="26" name="NoseA">
    <vt:lpwstr/>
  </property>
  <property fmtid="{D5CDD505-2E9C-101B-9397-08002B2CF9AE}" pid="27" name="NoseB">
    <vt:lpwstr/>
  </property>
  <property fmtid="{D5CDD505-2E9C-101B-9397-08002B2CF9AE}" pid="28" name="knesset_number">
    <vt:lpwstr/>
  </property>
  <property fmtid="{D5CDD505-2E9C-101B-9397-08002B2CF9AE}" pid="29" name="ValidFrom">
    <vt:lpwstr/>
  </property>
  <property fmtid="{D5CDD505-2E9C-101B-9397-08002B2CF9AE}" pid="30" name="ValidUntill">
    <vt:lpwstr/>
  </property>
  <property fmtid="{D5CDD505-2E9C-101B-9397-08002B2CF9AE}" pid="31" name="To1">
    <vt:lpwstr/>
  </property>
  <property fmtid="{D5CDD505-2E9C-101B-9397-08002B2CF9AE}" pid="32" name="From">
    <vt:lpwstr/>
  </property>
  <property fmtid="{D5CDD505-2E9C-101B-9397-08002B2CF9AE}" pid="33" name="body">
    <vt:lpwstr/>
  </property>
  <property fmtid="{D5CDD505-2E9C-101B-9397-08002B2CF9AE}" pid="34" name="ItemID">
    <vt:lpwstr/>
  </property>
  <property fmtid="{D5CDD505-2E9C-101B-9397-08002B2CF9AE}" pid="35" name="DocID">
    <vt:lpwstr/>
  </property>
  <property fmtid="{D5CDD505-2E9C-101B-9397-08002B2CF9AE}" pid="36" name="YozemID">
    <vt:lpwstr/>
  </property>
</Properties>
</file>