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B03A6">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0B03A6">
      <w:pPr>
        <w:spacing w:line="360" w:lineRule="auto"/>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771"/>
      </w:tblGrid>
      <w:tr w:rsidR="00000000">
        <w:tblPrEx>
          <w:tblCellMar>
            <w:top w:w="0" w:type="dxa"/>
            <w:bottom w:w="0" w:type="dxa"/>
          </w:tblCellMar>
        </w:tblPrEx>
        <w:tc>
          <w:tcPr>
            <w:tcW w:w="4771" w:type="dxa"/>
            <w:tcBorders>
              <w:top w:val="nil"/>
              <w:left w:val="nil"/>
              <w:bottom w:val="single" w:sz="4" w:space="0" w:color="auto"/>
              <w:right w:val="nil"/>
            </w:tcBorders>
          </w:tcPr>
          <w:p w:rsidR="00000000" w:rsidRDefault="000B03A6">
            <w:pPr>
              <w:spacing w:line="360" w:lineRule="auto"/>
              <w:jc w:val="center"/>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זבולון אורלב</w:t>
            </w:r>
          </w:p>
        </w:tc>
      </w:tr>
    </w:tbl>
    <w:p w:rsidR="00000000" w:rsidRDefault="000B03A6">
      <w:pPr>
        <w:spacing w:line="360" w:lineRule="auto"/>
        <w:jc w:val="center"/>
        <w:rPr>
          <w:rFonts w:cs="David"/>
          <w:b/>
          <w:bCs/>
          <w:rtl/>
        </w:rPr>
      </w:pPr>
      <w:r>
        <w:rPr>
          <w:rFonts w:cs="David"/>
          <w:sz w:val="32"/>
          <w:szCs w:val="32"/>
          <w:rtl/>
        </w:rPr>
        <w:tab/>
      </w:r>
      <w:r>
        <w:rPr>
          <w:rFonts w:cs="David"/>
          <w:sz w:val="32"/>
          <w:szCs w:val="32"/>
          <w:rtl/>
        </w:rPr>
        <w:tab/>
      </w:r>
      <w:r>
        <w:rPr>
          <w:rFonts w:cs="David"/>
          <w:sz w:val="32"/>
          <w:szCs w:val="32"/>
          <w:rtl/>
        </w:rPr>
        <w:tab/>
      </w:r>
      <w:r>
        <w:rPr>
          <w:rFonts w:cs="David"/>
          <w:sz w:val="32"/>
          <w:szCs w:val="32"/>
          <w:rtl/>
        </w:rPr>
        <w:tab/>
      </w:r>
      <w:r>
        <w:rPr>
          <w:rFonts w:cs="David"/>
          <w:b/>
          <w:bCs/>
          <w:rtl/>
        </w:rPr>
        <w:t>פ/1387/17</w:t>
      </w:r>
    </w:p>
    <w:p w:rsidR="00000000" w:rsidRDefault="000B03A6">
      <w:pPr>
        <w:spacing w:line="360" w:lineRule="auto"/>
        <w:rPr>
          <w:rFonts w:cs="David"/>
          <w:sz w:val="26"/>
          <w:szCs w:val="26"/>
          <w:rtl/>
        </w:rPr>
      </w:pPr>
    </w:p>
    <w:p w:rsidR="00000000" w:rsidRDefault="000B03A6">
      <w:pPr>
        <w:jc w:val="center"/>
        <w:rPr>
          <w:rFonts w:cs="David"/>
          <w:b/>
          <w:bCs/>
          <w:sz w:val="28"/>
          <w:szCs w:val="28"/>
          <w:rtl/>
        </w:rPr>
      </w:pPr>
      <w:r>
        <w:rPr>
          <w:rFonts w:cs="David"/>
          <w:b/>
          <w:bCs/>
          <w:sz w:val="28"/>
          <w:szCs w:val="28"/>
          <w:rtl/>
        </w:rPr>
        <w:fldChar w:fldCharType="begin">
          <w:ffData>
            <w:name w:val="Title"/>
            <w:enabled/>
            <w:calcOnExit w:val="0"/>
            <w:textInput>
              <w:default w:val="הצעת חוק יסודות התקציב (תיקון - שכר מרבי לעובדים חדשים המועסקים בגוף מתוקצב או גוף נתמך), התשס&quot;ו-2006"/>
            </w:textInput>
          </w:ffData>
        </w:fldChar>
      </w:r>
      <w:r>
        <w:rPr>
          <w:rFonts w:cs="David"/>
          <w:b/>
          <w:bCs/>
          <w:sz w:val="28"/>
          <w:szCs w:val="28"/>
          <w:rtl/>
        </w:rPr>
        <w:instrText xml:space="preserve"> </w:instrText>
      </w:r>
      <w:r>
        <w:rPr>
          <w:rFonts w:cs="David"/>
          <w:b/>
          <w:bCs/>
          <w:sz w:val="28"/>
          <w:szCs w:val="28"/>
        </w:rPr>
        <w:instrText>FORMTEXT</w:instrText>
      </w:r>
      <w:r>
        <w:rPr>
          <w:rFonts w:cs="David"/>
          <w:b/>
          <w:bCs/>
          <w:sz w:val="28"/>
          <w:szCs w:val="28"/>
          <w:rtl/>
        </w:rPr>
        <w:instrText xml:space="preserve"> </w:instrText>
      </w:r>
      <w:r>
        <w:rPr>
          <w:rFonts w:cs="David"/>
          <w:b/>
          <w:bCs/>
          <w:sz w:val="28"/>
          <w:szCs w:val="28"/>
          <w:rtl/>
        </w:rPr>
      </w:r>
      <w:r>
        <w:rPr>
          <w:rFonts w:cs="David"/>
          <w:b/>
          <w:bCs/>
          <w:sz w:val="28"/>
          <w:szCs w:val="28"/>
          <w:rtl/>
        </w:rPr>
        <w:fldChar w:fldCharType="separate"/>
      </w:r>
      <w:r>
        <w:rPr>
          <w:rFonts w:cs="David"/>
          <w:b/>
          <w:bCs/>
          <w:noProof/>
          <w:sz w:val="28"/>
          <w:szCs w:val="28"/>
          <w:rtl/>
        </w:rPr>
        <w:t>הצעת חוק יסודות התקציב (תיקון - שכר מרבי לעובדים ח</w:t>
      </w:r>
      <w:r>
        <w:rPr>
          <w:rFonts w:cs="David"/>
          <w:b/>
          <w:bCs/>
          <w:noProof/>
          <w:sz w:val="28"/>
          <w:szCs w:val="28"/>
          <w:rtl/>
        </w:rPr>
        <w:t>דשים המועסקים בגוף מתוקצב או גוף נתמך), התשס"ו-2006</w:t>
      </w:r>
      <w:r>
        <w:rPr>
          <w:rFonts w:cs="David"/>
          <w:b/>
          <w:bCs/>
          <w:sz w:val="28"/>
          <w:szCs w:val="28"/>
          <w:rtl/>
        </w:rPr>
        <w:fldChar w:fldCharType="end"/>
      </w:r>
    </w:p>
    <w:p w:rsidR="00000000" w:rsidRDefault="000B03A6">
      <w:pPr>
        <w:spacing w:line="360" w:lineRule="auto"/>
        <w:rPr>
          <w:rFonts w:cs="David"/>
          <w:sz w:val="26"/>
          <w:szCs w:val="26"/>
          <w:rtl/>
        </w:rPr>
      </w:pPr>
    </w:p>
    <w:p w:rsidR="00000000" w:rsidRDefault="000B03A6">
      <w:pPr>
        <w:spacing w:line="360" w:lineRule="auto"/>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343"/>
        <w:gridCol w:w="369"/>
        <w:gridCol w:w="567"/>
        <w:gridCol w:w="504"/>
        <w:gridCol w:w="403"/>
        <w:gridCol w:w="567"/>
        <w:gridCol w:w="567"/>
        <w:gridCol w:w="4100"/>
      </w:tblGrid>
      <w:tr w:rsidR="00000000">
        <w:tc>
          <w:tcPr>
            <w:tcW w:w="1343"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תיקון סעיף 29א</w:t>
            </w:r>
          </w:p>
        </w:tc>
        <w:tc>
          <w:tcPr>
            <w:tcW w:w="369"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1.</w:t>
            </w:r>
          </w:p>
        </w:tc>
        <w:tc>
          <w:tcPr>
            <w:tcW w:w="6708" w:type="dxa"/>
            <w:gridSpan w:val="6"/>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בחוק יסודות התקציב, ה</w:t>
            </w:r>
            <w:r>
              <w:rPr>
                <w:rFonts w:cs="David"/>
                <w:sz w:val="26"/>
                <w:szCs w:val="26"/>
                <w:rtl/>
              </w:rPr>
              <w:t>תשמ"ה–1985</w:t>
            </w:r>
            <w:r>
              <w:rPr>
                <w:rStyle w:val="aa"/>
                <w:rFonts w:cs="David"/>
                <w:sz w:val="26"/>
                <w:szCs w:val="26"/>
              </w:rPr>
              <w:footnoteReference w:id="1"/>
            </w:r>
            <w:r>
              <w:rPr>
                <w:rFonts w:cs="David"/>
                <w:sz w:val="26"/>
                <w:szCs w:val="26"/>
                <w:rtl/>
              </w:rPr>
              <w:t xml:space="preserve"> (להלן – החוק העיקרי), בסעיף 29א -</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(א)</w:t>
            </w:r>
          </w:p>
        </w:tc>
        <w:tc>
          <w:tcPr>
            <w:tcW w:w="6141" w:type="dxa"/>
            <w:gridSpan w:val="5"/>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בסעיף קטן (א), ברישה בפסקה (1), במקום "סעיף 29(א)" יבוא "סעיפים 29(א) או סעיף 31ה".</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(ב)</w:t>
            </w:r>
          </w:p>
        </w:tc>
        <w:tc>
          <w:tcPr>
            <w:tcW w:w="6141" w:type="dxa"/>
            <w:gridSpan w:val="5"/>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 xml:space="preserve">בסעיף קטן (ב) - </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504"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(1)</w:t>
            </w:r>
          </w:p>
        </w:tc>
        <w:tc>
          <w:tcPr>
            <w:tcW w:w="5637" w:type="dxa"/>
            <w:gridSpan w:val="4"/>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ברישה, במקום "סעיף 29(א)" יבוא "סעיפים 29(א) או 31ה;</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504"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(2)</w:t>
            </w:r>
          </w:p>
        </w:tc>
        <w:tc>
          <w:tcPr>
            <w:tcW w:w="5637" w:type="dxa"/>
            <w:gridSpan w:val="4"/>
            <w:tcBorders>
              <w:top w:val="nil"/>
              <w:left w:val="nil"/>
              <w:bottom w:val="nil"/>
              <w:right w:val="nil"/>
            </w:tcBorders>
          </w:tcPr>
          <w:p w:rsidR="00000000" w:rsidRDefault="000B03A6">
            <w:pPr>
              <w:spacing w:line="360" w:lineRule="auto"/>
              <w:rPr>
                <w:rFonts w:cs="David"/>
                <w:sz w:val="26"/>
                <w:szCs w:val="26"/>
                <w:rtl/>
              </w:rPr>
            </w:pPr>
            <w:r>
              <w:rPr>
                <w:rFonts w:cs="David"/>
                <w:sz w:val="26"/>
                <w:szCs w:val="26"/>
                <w:rtl/>
              </w:rPr>
              <w:t>בפס</w:t>
            </w:r>
            <w:r>
              <w:rPr>
                <w:rFonts w:cs="David"/>
                <w:sz w:val="26"/>
                <w:szCs w:val="26"/>
                <w:rtl/>
              </w:rPr>
              <w:t>קה (2), אחרי "כמשמעותן בסעיף 29" יבוא "או בשל משכורת כהגדרתה בסעיף 31ד".</w:t>
            </w:r>
          </w:p>
          <w:p w:rsidR="00000000" w:rsidRDefault="000B03A6">
            <w:pPr>
              <w:spacing w:line="360" w:lineRule="auto"/>
              <w:rPr>
                <w:rFonts w:cs="David"/>
                <w:sz w:val="26"/>
                <w:szCs w:val="26"/>
              </w:rPr>
            </w:pP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תיקון סעיף 29ב</w:t>
            </w:r>
          </w:p>
        </w:tc>
        <w:tc>
          <w:tcPr>
            <w:tcW w:w="369"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2.</w:t>
            </w:r>
          </w:p>
        </w:tc>
        <w:tc>
          <w:tcPr>
            <w:tcW w:w="6708" w:type="dxa"/>
            <w:gridSpan w:val="6"/>
            <w:tcBorders>
              <w:top w:val="nil"/>
              <w:left w:val="nil"/>
              <w:bottom w:val="nil"/>
              <w:right w:val="nil"/>
            </w:tcBorders>
          </w:tcPr>
          <w:p w:rsidR="00000000" w:rsidRDefault="000B03A6">
            <w:pPr>
              <w:spacing w:line="360" w:lineRule="auto"/>
              <w:rPr>
                <w:rFonts w:cs="David"/>
                <w:sz w:val="26"/>
                <w:szCs w:val="26"/>
                <w:rtl/>
              </w:rPr>
            </w:pPr>
            <w:r>
              <w:rPr>
                <w:rFonts w:cs="David"/>
                <w:sz w:val="26"/>
                <w:szCs w:val="26"/>
                <w:rtl/>
              </w:rPr>
              <w:t>בחוק העיקרי, בסעיף 29ב(א) ברישה, במקום "סעיף 29" יבוא "סעיפים 29 או 31ה".</w:t>
            </w:r>
          </w:p>
          <w:p w:rsidR="00000000" w:rsidRDefault="000B03A6">
            <w:pPr>
              <w:spacing w:line="360" w:lineRule="auto"/>
              <w:rPr>
                <w:rFonts w:cs="David"/>
                <w:sz w:val="26"/>
                <w:szCs w:val="26"/>
              </w:rPr>
            </w:pPr>
          </w:p>
        </w:tc>
      </w:tr>
      <w:tr w:rsidR="00000000">
        <w:trPr>
          <w:cantSplit/>
        </w:trPr>
        <w:tc>
          <w:tcPr>
            <w:tcW w:w="1343" w:type="dxa"/>
            <w:vMerge w:val="restart"/>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הוספת סעיפים 31ד – 31ח</w:t>
            </w:r>
          </w:p>
        </w:tc>
        <w:tc>
          <w:tcPr>
            <w:tcW w:w="369"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3.</w:t>
            </w:r>
          </w:p>
        </w:tc>
        <w:tc>
          <w:tcPr>
            <w:tcW w:w="6708" w:type="dxa"/>
            <w:gridSpan w:val="6"/>
            <w:tcBorders>
              <w:top w:val="nil"/>
              <w:left w:val="nil"/>
              <w:bottom w:val="nil"/>
              <w:right w:val="nil"/>
            </w:tcBorders>
          </w:tcPr>
          <w:p w:rsidR="00000000" w:rsidRDefault="000B03A6">
            <w:pPr>
              <w:spacing w:line="360" w:lineRule="auto"/>
              <w:rPr>
                <w:rFonts w:cs="David"/>
                <w:sz w:val="26"/>
                <w:szCs w:val="26"/>
                <w:rtl/>
              </w:rPr>
            </w:pPr>
            <w:r>
              <w:rPr>
                <w:rFonts w:cs="David"/>
                <w:sz w:val="26"/>
                <w:szCs w:val="26"/>
                <w:rtl/>
              </w:rPr>
              <w:t>בחוק העיקרי, אחרי סעיף 31ג יבוא:</w:t>
            </w:r>
          </w:p>
          <w:p w:rsidR="00000000" w:rsidRDefault="000B03A6">
            <w:pPr>
              <w:spacing w:line="360" w:lineRule="auto"/>
              <w:rPr>
                <w:rFonts w:cs="David"/>
                <w:sz w:val="26"/>
                <w:szCs w:val="26"/>
              </w:rPr>
            </w:pPr>
          </w:p>
        </w:tc>
      </w:tr>
      <w:tr w:rsidR="00000000">
        <w:trPr>
          <w:cantSplit/>
        </w:trPr>
        <w:tc>
          <w:tcPr>
            <w:tcW w:w="1343" w:type="dxa"/>
            <w:vMerge/>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6708" w:type="dxa"/>
            <w:gridSpan w:val="6"/>
            <w:tcBorders>
              <w:top w:val="nil"/>
              <w:left w:val="nil"/>
              <w:bottom w:val="nil"/>
              <w:right w:val="nil"/>
            </w:tcBorders>
          </w:tcPr>
          <w:p w:rsidR="00000000" w:rsidRDefault="000B03A6">
            <w:pPr>
              <w:spacing w:line="360" w:lineRule="auto"/>
              <w:rPr>
                <w:rFonts w:cs="David"/>
                <w:b/>
                <w:bCs/>
                <w:sz w:val="26"/>
                <w:szCs w:val="26"/>
                <w:rtl/>
              </w:rPr>
            </w:pPr>
            <w:r>
              <w:rPr>
                <w:rFonts w:cs="David"/>
                <w:b/>
                <w:bCs/>
                <w:sz w:val="26"/>
                <w:szCs w:val="26"/>
                <w:rtl/>
              </w:rPr>
              <w:t>"פרק ד'1: שכר מרבי לעובד</w:t>
            </w:r>
            <w:r>
              <w:rPr>
                <w:rFonts w:cs="David"/>
                <w:b/>
                <w:bCs/>
                <w:sz w:val="26"/>
                <w:szCs w:val="26"/>
                <w:rtl/>
              </w:rPr>
              <w:t>ים חדשים המועסקים בגוף מתוקצב או בגוף נתמך</w:t>
            </w:r>
          </w:p>
          <w:p w:rsidR="00000000" w:rsidRDefault="000B03A6">
            <w:pPr>
              <w:spacing w:line="360" w:lineRule="auto"/>
              <w:rPr>
                <w:rFonts w:cs="David"/>
                <w:b/>
                <w:bCs/>
                <w:sz w:val="26"/>
                <w:szCs w:val="26"/>
              </w:rPr>
            </w:pP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הגדרות</w:t>
            </w: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31ד.</w:t>
            </w:r>
          </w:p>
        </w:tc>
        <w:tc>
          <w:tcPr>
            <w:tcW w:w="4667" w:type="dxa"/>
            <w:gridSpan w:val="2"/>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 xml:space="preserve">בפרק זה - </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4667" w:type="dxa"/>
            <w:gridSpan w:val="2"/>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"גוף מתוקצב", "גוף נתמך" – כהגדרתם בסעיפים 21 ו- 32;</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4667" w:type="dxa"/>
            <w:gridSpan w:val="2"/>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"משכורת" – הכנסת עבודה כמשמעותה בסעיף 2(2) לפקודת מס הכנסה</w:t>
            </w:r>
            <w:r>
              <w:rPr>
                <w:rStyle w:val="aa"/>
                <w:rFonts w:cs="David"/>
                <w:sz w:val="26"/>
                <w:szCs w:val="26"/>
                <w:rtl/>
              </w:rPr>
              <w:footnoteReference w:id="2"/>
            </w:r>
            <w:r>
              <w:rPr>
                <w:rFonts w:cs="David"/>
                <w:sz w:val="26"/>
                <w:szCs w:val="26"/>
                <w:rtl/>
              </w:rPr>
              <w:t>, שניתנה בכסף, למעט תש</w:t>
            </w:r>
            <w:r>
              <w:rPr>
                <w:rFonts w:cs="David"/>
                <w:sz w:val="26"/>
                <w:szCs w:val="26"/>
                <w:rtl/>
              </w:rPr>
              <w:t>לומים אלה:</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(1)</w:t>
            </w:r>
          </w:p>
        </w:tc>
        <w:tc>
          <w:tcPr>
            <w:tcW w:w="4100"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 xml:space="preserve">תשלומים שניתנו לעובד לכיסוי הוצאותיו לרבות תשלומים בשל החזקת רכב או </w:t>
            </w:r>
            <w:r>
              <w:rPr>
                <w:rFonts w:cs="David"/>
                <w:sz w:val="26"/>
                <w:szCs w:val="26"/>
                <w:rtl/>
              </w:rPr>
              <w:lastRenderedPageBreak/>
              <w:t>טלפון, נסיעות לחוץ לארץ או רכישת ספרות מקצועית, לרבות גילום מס הכנסה בשל תשלומים אלה;</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(2)</w:t>
            </w:r>
          </w:p>
        </w:tc>
        <w:tc>
          <w:tcPr>
            <w:tcW w:w="4100"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שוויו של שימוש ברכב שהועמד לרשותו של העובד, כמשמעותו בסעיף 2(2) לפקודת מס</w:t>
            </w:r>
            <w:r>
              <w:rPr>
                <w:rFonts w:cs="David"/>
                <w:sz w:val="26"/>
                <w:szCs w:val="26"/>
                <w:rtl/>
              </w:rPr>
              <w:t xml:space="preserve"> הכנסה, לרבות גילום מס הכנסה בשל תשלום זה;</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4667" w:type="dxa"/>
            <w:gridSpan w:val="2"/>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"המועד הקובע" – יא' בטבת התשס"ז (1 בינואר  2007);</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4667" w:type="dxa"/>
            <w:gridSpan w:val="2"/>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"הסכם" – הסכם קיבוצי כללי או מיוחד כמשמעותם בחוק הסכמים קיבוציים, התשי"ז – 1957</w:t>
            </w:r>
            <w:r>
              <w:rPr>
                <w:rStyle w:val="aa"/>
                <w:rFonts w:cs="David"/>
                <w:sz w:val="26"/>
                <w:szCs w:val="26"/>
                <w:rtl/>
              </w:rPr>
              <w:footnoteReference w:id="3"/>
            </w:r>
            <w:r>
              <w:rPr>
                <w:rFonts w:cs="David"/>
                <w:sz w:val="26"/>
                <w:szCs w:val="26"/>
                <w:rtl/>
              </w:rPr>
              <w:t>, צו הרחבה כמשמעותו בחוק האמור, הסדר קיבוצי, הוראת</w:t>
            </w:r>
            <w:r>
              <w:rPr>
                <w:rFonts w:cs="David"/>
                <w:sz w:val="26"/>
                <w:szCs w:val="26"/>
                <w:rtl/>
              </w:rPr>
              <w:t xml:space="preserve"> מינהל או חוזה עבודה אישי לרבות חוזה מיוחד לפי סעיף 40  לחוק שירות המדינה (מינויים), התשי"ט – 1959</w:t>
            </w:r>
            <w:r>
              <w:rPr>
                <w:rStyle w:val="aa"/>
                <w:rFonts w:cs="David"/>
                <w:sz w:val="26"/>
                <w:szCs w:val="26"/>
                <w:rtl/>
              </w:rPr>
              <w:footnoteReference w:id="4"/>
            </w:r>
            <w:r>
              <w:rPr>
                <w:rFonts w:cs="David"/>
                <w:sz w:val="26"/>
                <w:szCs w:val="26"/>
                <w:rtl/>
              </w:rPr>
              <w:t>, שלפיו מעביד משלם שכר או תשלומים נלווים לעובד;</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4667" w:type="dxa"/>
            <w:gridSpan w:val="2"/>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"מנהל", בגוף מתוקצב או בגוף נתמך – המנהל הכללי או מנהל העסקים בגוף כאמור, גם אם ת</w:t>
            </w:r>
            <w:r>
              <w:rPr>
                <w:rFonts w:cs="David"/>
                <w:sz w:val="26"/>
                <w:szCs w:val="26"/>
                <w:rtl/>
              </w:rPr>
              <w:t>וארם שונה;</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4667" w:type="dxa"/>
            <w:gridSpan w:val="2"/>
            <w:tcBorders>
              <w:top w:val="nil"/>
              <w:left w:val="nil"/>
              <w:bottom w:val="nil"/>
              <w:right w:val="nil"/>
            </w:tcBorders>
          </w:tcPr>
          <w:p w:rsidR="00000000" w:rsidRDefault="000B03A6">
            <w:pPr>
              <w:spacing w:line="360" w:lineRule="auto"/>
              <w:rPr>
                <w:rFonts w:cs="David"/>
                <w:sz w:val="26"/>
                <w:szCs w:val="26"/>
                <w:rtl/>
              </w:rPr>
            </w:pPr>
            <w:r>
              <w:rPr>
                <w:rFonts w:cs="David"/>
                <w:sz w:val="26"/>
                <w:szCs w:val="26"/>
                <w:rtl/>
              </w:rPr>
              <w:t>"עובד חדש" – עובד אשר החל להיות מועסק בגוף מתוקצב או בגוף נתמך ביום י"א בטבת התשס"ז (1 בינואר  2007) או לאחריו.</w:t>
            </w:r>
          </w:p>
          <w:p w:rsidR="00000000" w:rsidRDefault="000B03A6">
            <w:pPr>
              <w:spacing w:line="360" w:lineRule="auto"/>
              <w:rPr>
                <w:rFonts w:cs="David"/>
                <w:sz w:val="26"/>
                <w:szCs w:val="26"/>
              </w:rPr>
            </w:pP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הגבלת משכורתו של עובד חדש בגוף מתוקצב או נתמך</w:t>
            </w: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31ה.</w:t>
            </w: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(א)</w:t>
            </w:r>
          </w:p>
        </w:tc>
        <w:tc>
          <w:tcPr>
            <w:tcW w:w="4100"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משכורתו של עובד חדש בגוף מתוקצב או גוף נתמך המשולמת בעד המועד הקובע ו</w:t>
            </w:r>
            <w:r>
              <w:rPr>
                <w:rFonts w:cs="David"/>
                <w:sz w:val="26"/>
                <w:szCs w:val="26"/>
                <w:rtl/>
              </w:rPr>
              <w:t>אילך, לא תעלה על המשכורת של מנהל הגוף שבו מועסק העובד, אלא באישור שר האוצר.</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(ב)</w:t>
            </w:r>
          </w:p>
        </w:tc>
        <w:tc>
          <w:tcPr>
            <w:tcW w:w="4100" w:type="dxa"/>
            <w:tcBorders>
              <w:top w:val="nil"/>
              <w:left w:val="nil"/>
              <w:bottom w:val="nil"/>
              <w:right w:val="nil"/>
            </w:tcBorders>
          </w:tcPr>
          <w:p w:rsidR="00000000" w:rsidRDefault="000B03A6">
            <w:pPr>
              <w:spacing w:line="360" w:lineRule="auto"/>
              <w:rPr>
                <w:rFonts w:cs="David"/>
                <w:sz w:val="26"/>
                <w:szCs w:val="26"/>
                <w:rtl/>
              </w:rPr>
            </w:pPr>
            <w:r>
              <w:rPr>
                <w:rFonts w:cs="David"/>
                <w:sz w:val="26"/>
                <w:szCs w:val="26"/>
                <w:rtl/>
              </w:rPr>
              <w:t>על אף הוראות סעיף קטן (א), רשאי שר האוצר לקבוע סוגי עובדים, מבין העובדים החדשים, שמשכורתם לא תעלה על משכורתו של גורם אחר שיקבע, שאינו המנהל.</w:t>
            </w:r>
          </w:p>
          <w:p w:rsidR="00000000" w:rsidRDefault="000B03A6">
            <w:pPr>
              <w:spacing w:line="360" w:lineRule="auto"/>
              <w:rPr>
                <w:rFonts w:cs="David"/>
                <w:sz w:val="26"/>
                <w:szCs w:val="26"/>
              </w:rPr>
            </w:pP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סייג לתחולה</w:t>
            </w: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31ו.</w:t>
            </w:r>
          </w:p>
        </w:tc>
        <w:tc>
          <w:tcPr>
            <w:tcW w:w="4667" w:type="dxa"/>
            <w:gridSpan w:val="2"/>
            <w:tcBorders>
              <w:top w:val="nil"/>
              <w:left w:val="nil"/>
              <w:bottom w:val="nil"/>
              <w:right w:val="nil"/>
            </w:tcBorders>
          </w:tcPr>
          <w:p w:rsidR="00000000" w:rsidRDefault="000B03A6">
            <w:pPr>
              <w:spacing w:line="360" w:lineRule="auto"/>
              <w:rPr>
                <w:rFonts w:cs="David"/>
                <w:sz w:val="26"/>
                <w:szCs w:val="26"/>
                <w:rtl/>
              </w:rPr>
            </w:pPr>
            <w:r>
              <w:rPr>
                <w:rFonts w:cs="David"/>
                <w:sz w:val="26"/>
                <w:szCs w:val="26"/>
                <w:rtl/>
              </w:rPr>
              <w:t xml:space="preserve">השר רשאי </w:t>
            </w:r>
            <w:r>
              <w:rPr>
                <w:rFonts w:cs="David"/>
                <w:sz w:val="26"/>
                <w:szCs w:val="26"/>
                <w:rtl/>
              </w:rPr>
              <w:t>לקבוע לגבי סוגי עובדים או מקרים או לגבי מקרה מסוים שעליהם חלות הוראות סעיף 31ה, כי הוראות הסעיף האמור לא יחולו עליהם או שיחולו בשינויים שיקבע.</w:t>
            </w:r>
          </w:p>
          <w:p w:rsidR="00000000" w:rsidRDefault="000B03A6">
            <w:pPr>
              <w:spacing w:line="360" w:lineRule="auto"/>
              <w:rPr>
                <w:rFonts w:cs="David"/>
                <w:sz w:val="26"/>
                <w:szCs w:val="26"/>
              </w:rPr>
            </w:pP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תחולת שאר הוראות החוק</w:t>
            </w: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31ז.</w:t>
            </w:r>
          </w:p>
        </w:tc>
        <w:tc>
          <w:tcPr>
            <w:tcW w:w="4667" w:type="dxa"/>
            <w:gridSpan w:val="2"/>
            <w:tcBorders>
              <w:top w:val="nil"/>
              <w:left w:val="nil"/>
              <w:bottom w:val="nil"/>
              <w:right w:val="nil"/>
            </w:tcBorders>
          </w:tcPr>
          <w:p w:rsidR="00000000" w:rsidRDefault="000B03A6">
            <w:pPr>
              <w:spacing w:line="360" w:lineRule="auto"/>
              <w:rPr>
                <w:rFonts w:cs="David"/>
                <w:sz w:val="26"/>
                <w:szCs w:val="26"/>
                <w:rtl/>
              </w:rPr>
            </w:pPr>
            <w:r>
              <w:rPr>
                <w:rFonts w:cs="David"/>
                <w:sz w:val="26"/>
                <w:szCs w:val="26"/>
                <w:rtl/>
              </w:rPr>
              <w:t>אין בהוראות פרק זה כדי לגרוע מכל הוראה אחרת בחוק זה, והוראות חוק זה לרבות הסמכויות</w:t>
            </w:r>
            <w:r>
              <w:rPr>
                <w:rFonts w:cs="David"/>
                <w:sz w:val="26"/>
                <w:szCs w:val="26"/>
                <w:rtl/>
              </w:rPr>
              <w:t xml:space="preserve"> הקבועות בהן, יחולו על תשלום משכורת של עובד שנעשה בניגוד להוראות פרק זה.</w:t>
            </w:r>
          </w:p>
          <w:p w:rsidR="00000000" w:rsidRDefault="000B03A6">
            <w:pPr>
              <w:spacing w:line="360" w:lineRule="auto"/>
              <w:rPr>
                <w:rFonts w:cs="David"/>
                <w:sz w:val="26"/>
                <w:szCs w:val="26"/>
              </w:rPr>
            </w:pP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עדיפות</w:t>
            </w: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31ח.</w:t>
            </w:r>
          </w:p>
        </w:tc>
        <w:tc>
          <w:tcPr>
            <w:tcW w:w="4667" w:type="dxa"/>
            <w:gridSpan w:val="2"/>
            <w:tcBorders>
              <w:top w:val="nil"/>
              <w:left w:val="nil"/>
              <w:bottom w:val="nil"/>
              <w:right w:val="nil"/>
            </w:tcBorders>
          </w:tcPr>
          <w:p w:rsidR="00000000" w:rsidRDefault="000B03A6">
            <w:pPr>
              <w:spacing w:line="360" w:lineRule="auto"/>
              <w:rPr>
                <w:rFonts w:cs="David"/>
                <w:sz w:val="26"/>
                <w:szCs w:val="26"/>
                <w:rtl/>
              </w:rPr>
            </w:pPr>
            <w:r>
              <w:rPr>
                <w:rFonts w:cs="David"/>
                <w:sz w:val="26"/>
                <w:szCs w:val="26"/>
                <w:rtl/>
              </w:rPr>
              <w:t>הוראות פרק זה גוברות על הוראות כל הסכם או דין, לרבות חוק הסכמים קיבוציים, התשי"ז – 1957."</w:t>
            </w:r>
          </w:p>
          <w:p w:rsidR="00000000" w:rsidRDefault="000B03A6">
            <w:pPr>
              <w:spacing w:line="360" w:lineRule="auto"/>
              <w:rPr>
                <w:rFonts w:cs="David"/>
                <w:sz w:val="26"/>
                <w:szCs w:val="26"/>
              </w:rPr>
            </w:pP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תיקון סעיף 33א</w:t>
            </w:r>
          </w:p>
        </w:tc>
        <w:tc>
          <w:tcPr>
            <w:tcW w:w="369"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4.</w:t>
            </w:r>
          </w:p>
        </w:tc>
        <w:tc>
          <w:tcPr>
            <w:tcW w:w="6708" w:type="dxa"/>
            <w:gridSpan w:val="6"/>
            <w:tcBorders>
              <w:top w:val="nil"/>
              <w:left w:val="nil"/>
              <w:bottom w:val="nil"/>
              <w:right w:val="nil"/>
            </w:tcBorders>
          </w:tcPr>
          <w:p w:rsidR="00000000" w:rsidRDefault="000B03A6">
            <w:pPr>
              <w:spacing w:line="360" w:lineRule="auto"/>
              <w:rPr>
                <w:rFonts w:cs="David"/>
                <w:sz w:val="26"/>
                <w:szCs w:val="26"/>
                <w:rtl/>
              </w:rPr>
            </w:pPr>
            <w:r>
              <w:rPr>
                <w:rFonts w:cs="David"/>
                <w:sz w:val="26"/>
                <w:szCs w:val="26"/>
                <w:rtl/>
              </w:rPr>
              <w:t>בחוק העיקרי, בסעיף 33א(ג)(4), במקום "סעיף 29(א)" יבוא "סע</w:t>
            </w:r>
            <w:r>
              <w:rPr>
                <w:rFonts w:cs="David"/>
                <w:sz w:val="26"/>
                <w:szCs w:val="26"/>
                <w:rtl/>
              </w:rPr>
              <w:t>יפים 29(א) או 31ה".</w:t>
            </w:r>
          </w:p>
          <w:p w:rsidR="00000000" w:rsidRDefault="000B03A6">
            <w:pPr>
              <w:spacing w:line="360" w:lineRule="auto"/>
              <w:rPr>
                <w:rFonts w:cs="David"/>
                <w:sz w:val="26"/>
                <w:szCs w:val="26"/>
              </w:rPr>
            </w:pP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תיקון סעיף 35א</w:t>
            </w:r>
          </w:p>
        </w:tc>
        <w:tc>
          <w:tcPr>
            <w:tcW w:w="369"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5.</w:t>
            </w:r>
          </w:p>
        </w:tc>
        <w:tc>
          <w:tcPr>
            <w:tcW w:w="6708" w:type="dxa"/>
            <w:gridSpan w:val="6"/>
            <w:tcBorders>
              <w:top w:val="nil"/>
              <w:left w:val="nil"/>
              <w:bottom w:val="nil"/>
              <w:right w:val="nil"/>
            </w:tcBorders>
          </w:tcPr>
          <w:p w:rsidR="00000000" w:rsidRDefault="000B03A6">
            <w:pPr>
              <w:spacing w:line="360" w:lineRule="auto"/>
              <w:rPr>
                <w:rFonts w:cs="David"/>
                <w:sz w:val="26"/>
                <w:szCs w:val="26"/>
                <w:rtl/>
              </w:rPr>
            </w:pPr>
            <w:r>
              <w:rPr>
                <w:rFonts w:cs="David"/>
                <w:sz w:val="26"/>
                <w:szCs w:val="26"/>
                <w:rtl/>
              </w:rPr>
              <w:t>בחוק העיקרי, בסעיף 35א, במקום "סעיף 29" יבוא "סעיפים 29 או    31ה"</w:t>
            </w:r>
          </w:p>
          <w:p w:rsidR="00000000" w:rsidRDefault="000B03A6">
            <w:pPr>
              <w:spacing w:line="360" w:lineRule="auto"/>
              <w:rPr>
                <w:rFonts w:cs="David"/>
                <w:sz w:val="26"/>
                <w:szCs w:val="26"/>
              </w:rPr>
            </w:pP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הוספת סעיף 43א</w:t>
            </w:r>
          </w:p>
        </w:tc>
        <w:tc>
          <w:tcPr>
            <w:tcW w:w="369"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6.</w:t>
            </w:r>
          </w:p>
        </w:tc>
        <w:tc>
          <w:tcPr>
            <w:tcW w:w="6708" w:type="dxa"/>
            <w:gridSpan w:val="6"/>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בחוק העיקרי, אחרי סעיף 43 יבוא:</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"קיזוז וגבייה</w:t>
            </w: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43א.</w:t>
            </w: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(א)</w:t>
            </w:r>
          </w:p>
        </w:tc>
        <w:tc>
          <w:tcPr>
            <w:tcW w:w="4100"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 xml:space="preserve">החשב הכללי במשרד האוצר או מי שהוא הסמיך לכך, רשאי להורות על קיזוז חיוב </w:t>
            </w:r>
            <w:r>
              <w:rPr>
                <w:rFonts w:cs="David"/>
                <w:sz w:val="26"/>
                <w:szCs w:val="26"/>
                <w:rtl/>
              </w:rPr>
              <w:t>כספי קצוב שגוף מתוקצב, גוף נתמך וכל אדם אחר שהממשלה משתתפת בתקציבו, במישרין או בעקיפין, או שהממשלה חייבת לו כספים מכל סיבה שהיא, חב לממשלה, לרבות בשל סכומים ששולמו לו ביתר אך למעט חוב מס; קיזוז כאמור לא ייעשה אלא לאחר שניתנה הודעה בכתב לחייב כאמור על הכוונ</w:t>
            </w:r>
            <w:r>
              <w:rPr>
                <w:rFonts w:cs="David"/>
                <w:sz w:val="26"/>
                <w:szCs w:val="26"/>
                <w:rtl/>
              </w:rPr>
              <w:t>ה לקזז את הסכום והחוב לא סולק בתוך 30 ימים.</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(ב)</w:t>
            </w:r>
          </w:p>
        </w:tc>
        <w:tc>
          <w:tcPr>
            <w:tcW w:w="4100"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קיזוז חיוב כספי קצוב לפי הוראות סעיף קטן (א) ייעשה בדרך של ביצוע התקציב הנוגע לענין לפי חוק התקציב השנתי, והעברת הסכום שקוזז לאוצר המדינה.</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(ג)</w:t>
            </w:r>
          </w:p>
        </w:tc>
        <w:tc>
          <w:tcPr>
            <w:tcW w:w="4100"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בלי לגרוע מהוראות סעיף זה רשאי החשב הכללי במשרד האוצר א</w:t>
            </w:r>
            <w:r>
              <w:rPr>
                <w:rFonts w:cs="David"/>
                <w:sz w:val="26"/>
                <w:szCs w:val="26"/>
                <w:rtl/>
              </w:rPr>
              <w:t>ו מי שהוסמך על ידו כאמור בסעיף קטן (א), לגבות את החוב כאמור באותו סעיף קטן (א) לפי הוראות פקודת המיסים (גבייה)</w:t>
            </w:r>
            <w:r>
              <w:rPr>
                <w:rStyle w:val="aa"/>
                <w:rFonts w:cs="David"/>
                <w:sz w:val="26"/>
                <w:szCs w:val="26"/>
                <w:rtl/>
              </w:rPr>
              <w:footnoteReference w:id="5"/>
            </w:r>
            <w:r>
              <w:rPr>
                <w:rFonts w:cs="David"/>
                <w:sz w:val="26"/>
                <w:szCs w:val="26"/>
                <w:rtl/>
              </w:rPr>
              <w:t>, כאילו היה מס.</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(ד)</w:t>
            </w:r>
          </w:p>
        </w:tc>
        <w:tc>
          <w:tcPr>
            <w:tcW w:w="4100"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 xml:space="preserve">בסעיף זה - </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4100"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 xml:space="preserve">"הממשלה" – הממשלה ומשרדי הממשלה, לרבות יחידותיהם </w:t>
            </w:r>
            <w:r>
              <w:rPr>
                <w:rFonts w:cs="David"/>
                <w:sz w:val="26"/>
                <w:szCs w:val="26"/>
                <w:rtl/>
              </w:rPr>
              <w:t>ויחידות הסמך שלהם;</w:t>
            </w:r>
          </w:p>
        </w:tc>
      </w:tr>
      <w:tr w:rsidR="00000000">
        <w:tc>
          <w:tcPr>
            <w:tcW w:w="1343" w:type="dxa"/>
            <w:tcBorders>
              <w:top w:val="nil"/>
              <w:left w:val="nil"/>
              <w:bottom w:val="nil"/>
              <w:right w:val="nil"/>
            </w:tcBorders>
          </w:tcPr>
          <w:p w:rsidR="00000000" w:rsidRDefault="000B03A6">
            <w:pPr>
              <w:spacing w:line="360" w:lineRule="auto"/>
              <w:rPr>
                <w:rFonts w:cs="David"/>
                <w:sz w:val="26"/>
                <w:szCs w:val="26"/>
              </w:rPr>
            </w:pPr>
          </w:p>
        </w:tc>
        <w:tc>
          <w:tcPr>
            <w:tcW w:w="369" w:type="dxa"/>
            <w:tcBorders>
              <w:top w:val="nil"/>
              <w:left w:val="nil"/>
              <w:bottom w:val="nil"/>
              <w:right w:val="nil"/>
            </w:tcBorders>
          </w:tcPr>
          <w:p w:rsidR="00000000" w:rsidRDefault="000B03A6">
            <w:pPr>
              <w:spacing w:line="360" w:lineRule="auto"/>
              <w:rPr>
                <w:rFonts w:cs="David"/>
                <w:sz w:val="26"/>
                <w:szCs w:val="26"/>
              </w:rPr>
            </w:pPr>
          </w:p>
        </w:tc>
        <w:tc>
          <w:tcPr>
            <w:tcW w:w="1474" w:type="dxa"/>
            <w:gridSpan w:val="3"/>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567" w:type="dxa"/>
            <w:tcBorders>
              <w:top w:val="nil"/>
              <w:left w:val="nil"/>
              <w:bottom w:val="nil"/>
              <w:right w:val="nil"/>
            </w:tcBorders>
          </w:tcPr>
          <w:p w:rsidR="00000000" w:rsidRDefault="000B03A6">
            <w:pPr>
              <w:spacing w:line="360" w:lineRule="auto"/>
              <w:rPr>
                <w:rFonts w:cs="David"/>
                <w:sz w:val="26"/>
                <w:szCs w:val="26"/>
              </w:rPr>
            </w:pPr>
          </w:p>
        </w:tc>
        <w:tc>
          <w:tcPr>
            <w:tcW w:w="4100" w:type="dxa"/>
            <w:tcBorders>
              <w:top w:val="nil"/>
              <w:left w:val="nil"/>
              <w:bottom w:val="nil"/>
              <w:right w:val="nil"/>
            </w:tcBorders>
          </w:tcPr>
          <w:p w:rsidR="00000000" w:rsidRDefault="000B03A6">
            <w:pPr>
              <w:spacing w:line="360" w:lineRule="auto"/>
              <w:rPr>
                <w:rFonts w:cs="David"/>
                <w:sz w:val="26"/>
                <w:szCs w:val="26"/>
              </w:rPr>
            </w:pPr>
            <w:r>
              <w:rPr>
                <w:rFonts w:cs="David"/>
                <w:sz w:val="26"/>
                <w:szCs w:val="26"/>
                <w:rtl/>
              </w:rPr>
              <w:t>"חוב מס" – כמשמעותו בחוק קיזוז מיסים, התש"ם – 1980</w:t>
            </w:r>
            <w:r>
              <w:rPr>
                <w:rStyle w:val="aa"/>
                <w:rFonts w:cs="David"/>
                <w:sz w:val="26"/>
                <w:szCs w:val="26"/>
                <w:rtl/>
              </w:rPr>
              <w:footnoteReference w:id="6"/>
            </w:r>
            <w:r>
              <w:rPr>
                <w:rFonts w:cs="David"/>
                <w:sz w:val="26"/>
                <w:szCs w:val="26"/>
                <w:rtl/>
              </w:rPr>
              <w:t>."</w:t>
            </w:r>
          </w:p>
        </w:tc>
      </w:tr>
    </w:tbl>
    <w:p w:rsidR="00000000" w:rsidRDefault="000B03A6">
      <w:pPr>
        <w:spacing w:line="360" w:lineRule="auto"/>
        <w:rPr>
          <w:rFonts w:cs="David"/>
          <w:sz w:val="26"/>
          <w:szCs w:val="26"/>
          <w:rtl/>
        </w:rPr>
      </w:pPr>
    </w:p>
    <w:p w:rsidR="00000000" w:rsidRDefault="000B03A6">
      <w:pPr>
        <w:spacing w:line="360" w:lineRule="auto"/>
        <w:jc w:val="center"/>
        <w:rPr>
          <w:rFonts w:cs="David"/>
          <w:b/>
          <w:bCs/>
          <w:sz w:val="28"/>
          <w:szCs w:val="28"/>
          <w:u w:val="single"/>
          <w:rtl/>
        </w:rPr>
      </w:pPr>
      <w:r>
        <w:rPr>
          <w:rFonts w:cs="David"/>
          <w:b/>
          <w:bCs/>
          <w:sz w:val="28"/>
          <w:szCs w:val="28"/>
          <w:u w:val="single"/>
          <w:rtl/>
        </w:rPr>
        <w:t>דברי – הסבר</w:t>
      </w:r>
    </w:p>
    <w:p w:rsidR="00000000" w:rsidRDefault="000B03A6">
      <w:pPr>
        <w:spacing w:line="360" w:lineRule="auto"/>
        <w:rPr>
          <w:rFonts w:cs="David"/>
          <w:sz w:val="26"/>
          <w:szCs w:val="26"/>
          <w:rtl/>
        </w:rPr>
      </w:pPr>
    </w:p>
    <w:p w:rsidR="00000000" w:rsidRDefault="000B03A6">
      <w:pPr>
        <w:rPr>
          <w:rFonts w:cs="David"/>
          <w:sz w:val="26"/>
          <w:szCs w:val="26"/>
          <w:rtl/>
        </w:rPr>
      </w:pPr>
      <w:r>
        <w:rPr>
          <w:rFonts w:cs="David"/>
          <w:sz w:val="26"/>
          <w:szCs w:val="26"/>
          <w:rtl/>
        </w:rPr>
        <w:t>מטרתה של הצעת חוק זו הינה להגביל את הוצאות השכר בשירות הציבורי.</w:t>
      </w:r>
    </w:p>
    <w:p w:rsidR="00000000" w:rsidRDefault="000B03A6">
      <w:pPr>
        <w:rPr>
          <w:rFonts w:cs="David"/>
          <w:sz w:val="26"/>
          <w:szCs w:val="26"/>
          <w:rtl/>
        </w:rPr>
      </w:pPr>
    </w:p>
    <w:p w:rsidR="00000000" w:rsidRDefault="000B03A6">
      <w:pPr>
        <w:rPr>
          <w:rFonts w:cs="David"/>
          <w:b/>
          <w:bCs/>
          <w:sz w:val="26"/>
          <w:szCs w:val="26"/>
          <w:rtl/>
        </w:rPr>
      </w:pPr>
      <w:r>
        <w:rPr>
          <w:rFonts w:cs="David"/>
          <w:b/>
          <w:bCs/>
          <w:sz w:val="26"/>
          <w:szCs w:val="26"/>
          <w:rtl/>
        </w:rPr>
        <w:t>לסעיף 31ה המוצע</w:t>
      </w:r>
    </w:p>
    <w:p w:rsidR="00000000" w:rsidRDefault="000B03A6">
      <w:pPr>
        <w:rPr>
          <w:rFonts w:cs="David"/>
          <w:sz w:val="26"/>
          <w:szCs w:val="26"/>
          <w:rtl/>
        </w:rPr>
      </w:pPr>
      <w:r>
        <w:rPr>
          <w:rFonts w:cs="David"/>
          <w:sz w:val="26"/>
          <w:szCs w:val="26"/>
          <w:rtl/>
        </w:rPr>
        <w:br/>
        <w:t>המחוקק הכיר זה מכבר בצורך לקבוע ריסון תקציבי בכל הנוגע להו</w:t>
      </w:r>
      <w:r>
        <w:rPr>
          <w:rFonts w:cs="David"/>
          <w:sz w:val="26"/>
          <w:szCs w:val="26"/>
          <w:rtl/>
        </w:rPr>
        <w:t>צאות השכר בשירות הציבורי. לפיכך, נקבע בהוראת סעיף 29 לחוק יסודות התקציב, התשמ"ה-1985, כי גוף מתוקצב או גוף נתמך לא יסכים על שינויים בשכר, בתנאי פרישה או בגמלאות, או על הטבות כספיות אחרות הקשורות לעבודה, ולא ינהיג שינויים או הטבות כאמור, אלא בהתאם למה שהוסכ</w:t>
      </w:r>
      <w:r>
        <w:rPr>
          <w:rFonts w:cs="David"/>
          <w:sz w:val="26"/>
          <w:szCs w:val="26"/>
          <w:rtl/>
        </w:rPr>
        <w:t>ם או הונהג לגבי כלל עובדי המדינה או באישורו של שר האוצר.</w:t>
      </w:r>
      <w:r>
        <w:rPr>
          <w:rFonts w:cs="David"/>
          <w:sz w:val="26"/>
          <w:szCs w:val="26"/>
          <w:rtl/>
        </w:rPr>
        <w:br/>
        <w:t xml:space="preserve">כפי שעולה מהדוחות השנתיים שמפרסם הממונה על השכר והסכמי עבודה, בהתאם לסעיף 33א(ג) לחוק האמור, בגופים ציבוריים רבים משכורתם של עובדים שונים גבוהה ביותר ואף עולה, לא אחת, על משכורתו של מנהל הגוף. תופעה </w:t>
      </w:r>
      <w:r>
        <w:rPr>
          <w:rFonts w:cs="David"/>
          <w:sz w:val="26"/>
          <w:szCs w:val="26"/>
          <w:rtl/>
        </w:rPr>
        <w:t>זו אינה ראויה. העיקרון אשר נותן ביטוי להיררכיה הניהולית הוא כי העובד אשר עומד בראש הגוף הוא שיזכה למשכורת הגבוהה ביותר ואילו משכורתיהם של יתר העובדים אשר כפופים לו לא תעלינה עליה, אלא באישור מיוחד. יחד עם זאת קיימים עובדים המועסקים בתפקידים אשר הזיקה המקצו</w:t>
      </w:r>
      <w:r>
        <w:rPr>
          <w:rFonts w:cs="David"/>
          <w:sz w:val="26"/>
          <w:szCs w:val="26"/>
          <w:rtl/>
        </w:rPr>
        <w:t>עית אל גורם אחר חזקה מזו הקיימת אל ראש הגוף שבו הם מועסקים. מוצע אפוא במקרים אלה לאפשר לקבוע כי משכורתם תושווה אל משכורתו של אותו גורם.</w:t>
      </w:r>
      <w:r>
        <w:rPr>
          <w:rFonts w:cs="David"/>
          <w:sz w:val="26"/>
          <w:szCs w:val="26"/>
          <w:rtl/>
        </w:rPr>
        <w:br/>
        <w:t>התופעה התפתחה, בין השאר, בעקבות קיומם של הסכמים קיבוצים ישנים אשר אין בכוחו של סעיף 29 להתגבר עליהם. הסכמים אלה נחתמו בע</w:t>
      </w:r>
      <w:r>
        <w:rPr>
          <w:rFonts w:cs="David"/>
          <w:sz w:val="26"/>
          <w:szCs w:val="26"/>
          <w:rtl/>
        </w:rPr>
        <w:t>ידן של פריחה כלכלית, לעתים עקב לחץ ועדי עובדים תוך שימוש בחיוניות השירות שמספק הגוף. בתקופה של משבר כלכלי חמור אין הצדקה להחלתם של הסכמים אלה לגבי עובדים חדשים.</w:t>
      </w:r>
    </w:p>
    <w:p w:rsidR="00000000" w:rsidRDefault="000B03A6">
      <w:pPr>
        <w:rPr>
          <w:rFonts w:cs="David"/>
          <w:sz w:val="26"/>
          <w:szCs w:val="26"/>
          <w:rtl/>
        </w:rPr>
      </w:pPr>
    </w:p>
    <w:p w:rsidR="00000000" w:rsidRDefault="000B03A6">
      <w:pPr>
        <w:rPr>
          <w:rFonts w:cs="David"/>
          <w:sz w:val="26"/>
          <w:szCs w:val="26"/>
          <w:rtl/>
        </w:rPr>
      </w:pPr>
    </w:p>
    <w:p w:rsidR="00000000" w:rsidRDefault="000B03A6">
      <w:pPr>
        <w:rPr>
          <w:rFonts w:cs="David"/>
          <w:sz w:val="26"/>
          <w:szCs w:val="26"/>
          <w:rtl/>
        </w:rPr>
      </w:pPr>
    </w:p>
    <w:p w:rsidR="00000000" w:rsidRDefault="000B03A6">
      <w:pPr>
        <w:rPr>
          <w:rFonts w:cs="David"/>
          <w:b/>
          <w:bCs/>
          <w:sz w:val="26"/>
          <w:szCs w:val="26"/>
          <w:rtl/>
        </w:rPr>
      </w:pPr>
      <w:r>
        <w:rPr>
          <w:rFonts w:cs="David"/>
          <w:b/>
          <w:bCs/>
          <w:sz w:val="26"/>
          <w:szCs w:val="26"/>
          <w:rtl/>
        </w:rPr>
        <w:t xml:space="preserve"> </w:t>
      </w:r>
    </w:p>
    <w:p w:rsidR="00000000" w:rsidRDefault="000B03A6">
      <w:pPr>
        <w:rPr>
          <w:rFonts w:cs="David"/>
          <w:sz w:val="26"/>
          <w:szCs w:val="26"/>
          <w:rtl/>
        </w:rPr>
      </w:pPr>
      <w:r>
        <w:rPr>
          <w:rFonts w:cs="David"/>
          <w:b/>
          <w:bCs/>
          <w:sz w:val="26"/>
          <w:szCs w:val="26"/>
          <w:rtl/>
        </w:rPr>
        <w:t>לסעיף 31ו המוצע</w:t>
      </w:r>
    </w:p>
    <w:p w:rsidR="00000000" w:rsidRDefault="000B03A6">
      <w:pPr>
        <w:rPr>
          <w:rFonts w:cs="David"/>
          <w:sz w:val="26"/>
          <w:szCs w:val="26"/>
          <w:rtl/>
        </w:rPr>
      </w:pPr>
      <w:r>
        <w:rPr>
          <w:rFonts w:cs="David"/>
          <w:sz w:val="26"/>
          <w:szCs w:val="26"/>
          <w:rtl/>
        </w:rPr>
        <w:br/>
      </w:r>
    </w:p>
    <w:p w:rsidR="00000000" w:rsidRDefault="000B03A6">
      <w:pPr>
        <w:rPr>
          <w:rFonts w:cs="David"/>
          <w:b/>
          <w:bCs/>
          <w:sz w:val="26"/>
          <w:szCs w:val="26"/>
          <w:rtl/>
        </w:rPr>
      </w:pPr>
      <w:r>
        <w:rPr>
          <w:rFonts w:cs="David"/>
          <w:sz w:val="26"/>
          <w:szCs w:val="26"/>
          <w:rtl/>
        </w:rPr>
        <w:t>כדי לתת מענה למקרים מיוחדים וחריגים, מוצע להסמיך את שר האוצר לקבוע מקרים</w:t>
      </w:r>
      <w:r>
        <w:rPr>
          <w:rFonts w:cs="David"/>
          <w:sz w:val="26"/>
          <w:szCs w:val="26"/>
          <w:rtl/>
        </w:rPr>
        <w:t xml:space="preserve"> שבהם לא יחולו הוראות סעיף 31ה או שיחולו בשינויים שיקבע.</w:t>
      </w:r>
      <w:r>
        <w:rPr>
          <w:rFonts w:cs="David"/>
          <w:sz w:val="26"/>
          <w:szCs w:val="26"/>
          <w:rtl/>
        </w:rPr>
        <w:br/>
      </w:r>
      <w:r>
        <w:rPr>
          <w:rFonts w:cs="David"/>
          <w:sz w:val="26"/>
          <w:szCs w:val="26"/>
          <w:rtl/>
        </w:rPr>
        <w:br/>
      </w:r>
      <w:r>
        <w:rPr>
          <w:rFonts w:cs="David"/>
          <w:b/>
          <w:bCs/>
          <w:sz w:val="26"/>
          <w:szCs w:val="26"/>
          <w:rtl/>
        </w:rPr>
        <w:t>לסעיף 31ז המוצע</w:t>
      </w:r>
    </w:p>
    <w:p w:rsidR="00000000" w:rsidRDefault="000B03A6">
      <w:pPr>
        <w:rPr>
          <w:rFonts w:cs="David"/>
          <w:sz w:val="26"/>
          <w:szCs w:val="26"/>
          <w:rtl/>
        </w:rPr>
      </w:pPr>
      <w:r>
        <w:rPr>
          <w:rFonts w:cs="David"/>
          <w:sz w:val="26"/>
          <w:szCs w:val="26"/>
          <w:rtl/>
        </w:rPr>
        <w:br/>
        <w:t xml:space="preserve">ההוראות המוצעות בפרק זה באות נוסף על הוראות פרק ד' לחוק יסודות התקציב ולפיכך שכרו של עובד גוף מתוקצב ונתמך ימשיך להיות מושווה לשכרם של כלל עובדי המדינה, ואולם בפרק זה נקבעת לו תקרה </w:t>
      </w:r>
      <w:r>
        <w:rPr>
          <w:rFonts w:cs="David"/>
          <w:sz w:val="26"/>
          <w:szCs w:val="26"/>
          <w:rtl/>
        </w:rPr>
        <w:t>מרבית. כדי שניתן יהיה לאכוף את ביצוען של הוראות הפרק המוצע, מוצע לקבוע כי הוראות החוק, הדנות בענין מתן שכר ותנאי עבודה שלא כדין והמעניקות לשר האוצר סמכויות בענין זה, יחולו לגבי תשלום משכורת הנעשה בניגוד</w:t>
      </w:r>
    </w:p>
    <w:p w:rsidR="00000000" w:rsidRDefault="000B03A6">
      <w:pPr>
        <w:rPr>
          <w:rFonts w:cs="David"/>
          <w:b/>
          <w:bCs/>
          <w:sz w:val="26"/>
          <w:szCs w:val="26"/>
          <w:rtl/>
        </w:rPr>
      </w:pPr>
      <w:r>
        <w:rPr>
          <w:rFonts w:cs="David"/>
          <w:sz w:val="26"/>
          <w:szCs w:val="26"/>
          <w:rtl/>
        </w:rPr>
        <w:t>להוראות פרק זה.</w:t>
      </w:r>
      <w:r>
        <w:rPr>
          <w:rFonts w:cs="David"/>
          <w:sz w:val="26"/>
          <w:szCs w:val="26"/>
          <w:rtl/>
        </w:rPr>
        <w:br/>
      </w:r>
      <w:r>
        <w:rPr>
          <w:rFonts w:cs="David"/>
          <w:sz w:val="26"/>
          <w:szCs w:val="26"/>
          <w:rtl/>
        </w:rPr>
        <w:br/>
      </w:r>
      <w:r>
        <w:rPr>
          <w:rFonts w:cs="David"/>
          <w:b/>
          <w:bCs/>
          <w:sz w:val="26"/>
          <w:szCs w:val="26"/>
          <w:rtl/>
        </w:rPr>
        <w:t>לסעיף 31ח המוצע</w:t>
      </w:r>
    </w:p>
    <w:p w:rsidR="00000000" w:rsidRDefault="000B03A6">
      <w:pPr>
        <w:rPr>
          <w:rFonts w:cs="David"/>
          <w:sz w:val="26"/>
          <w:szCs w:val="26"/>
          <w:rtl/>
        </w:rPr>
      </w:pPr>
      <w:r>
        <w:rPr>
          <w:rFonts w:cs="David"/>
          <w:sz w:val="26"/>
          <w:szCs w:val="26"/>
          <w:rtl/>
        </w:rPr>
        <w:br/>
        <w:t>כדי להתגבר על הסכמי</w:t>
      </w:r>
      <w:r>
        <w:rPr>
          <w:rFonts w:cs="David"/>
          <w:sz w:val="26"/>
          <w:szCs w:val="26"/>
          <w:rtl/>
        </w:rPr>
        <w:t>ם קיימים, לרבות הסכמים קיבוציים, מוצע לקבוע כי הוראות החוק יגברו על האמור בכל הסכם או דין. כמו כן, יש מקום לקבוע עדיפות לחוק זה על פני חוק הסכמים קיבוציים, כדי להימנע ממצב שבו לא יהיה ברור איזהו החוק הגובר.</w:t>
      </w:r>
    </w:p>
    <w:p w:rsidR="00000000" w:rsidRDefault="000B03A6">
      <w:pPr>
        <w:rPr>
          <w:rFonts w:cs="David"/>
          <w:sz w:val="26"/>
          <w:szCs w:val="26"/>
          <w:rtl/>
        </w:rPr>
      </w:pPr>
    </w:p>
    <w:p w:rsidR="00000000" w:rsidRDefault="000B03A6">
      <w:pPr>
        <w:pStyle w:val="2"/>
        <w:rPr>
          <w:rFonts w:cs="David"/>
          <w:rtl/>
        </w:rPr>
      </w:pPr>
      <w:r>
        <w:rPr>
          <w:rFonts w:cs="David"/>
          <w:rtl/>
        </w:rPr>
        <w:t>לסעיף 43א המוצע</w:t>
      </w:r>
    </w:p>
    <w:p w:rsidR="00000000" w:rsidRDefault="000B03A6">
      <w:pPr>
        <w:rPr>
          <w:sz w:val="20"/>
          <w:szCs w:val="20"/>
          <w:rtl/>
        </w:rPr>
      </w:pPr>
      <w:r>
        <w:rPr>
          <w:rFonts w:cs="David"/>
          <w:sz w:val="26"/>
          <w:szCs w:val="26"/>
          <w:rtl/>
        </w:rPr>
        <w:br/>
        <w:t>בשל ביזור הסמכויות במשרדי הממשל</w:t>
      </w:r>
      <w:r>
        <w:rPr>
          <w:rFonts w:cs="David"/>
          <w:sz w:val="26"/>
          <w:szCs w:val="26"/>
          <w:rtl/>
        </w:rPr>
        <w:t>ה השונים נקלעת הממשלה לעתים למצבים שבהם משרד ממשלתי אחד משלם כספים לגוף כלשהו בעוד אותו גוף חייב כספים למשרד ממשלתי אחר, ובחלק מהמקרים גביית החוב אף אינה אפשרית או אינה מעשית. מצבים אלה מתעוררים במיוחד לגבי גופים מתוקצבים וגופים נתמכים וכן לגבי גופים נוספי</w:t>
      </w:r>
      <w:r>
        <w:rPr>
          <w:rFonts w:cs="David"/>
          <w:sz w:val="26"/>
          <w:szCs w:val="26"/>
          <w:rtl/>
        </w:rPr>
        <w:t>ם שהממשלה משתתפת בתקציבם באופן שוטף, ואולם לעתים הממשלה נקלעת למצב כזה גם לגבי גופים שהקשר אתם הוא על בסיס עסקי או מסחרי.</w:t>
      </w:r>
      <w:r>
        <w:rPr>
          <w:rFonts w:cs="David"/>
          <w:sz w:val="26"/>
          <w:szCs w:val="26"/>
          <w:rtl/>
        </w:rPr>
        <w:br/>
        <w:t>כדי לשפר את יכולות הפיקוח על הוצאות הממשלה ואת אפשרויות הגביה שלה, מוצע להסמיך את החשב הכללי במשרד האוצר או מי שהוא הסמיך לכך להורות ע</w:t>
      </w:r>
      <w:r>
        <w:rPr>
          <w:rFonts w:cs="David"/>
          <w:sz w:val="26"/>
          <w:szCs w:val="26"/>
          <w:rtl/>
        </w:rPr>
        <w:t>ל קיזוז חיוב כספי שגוף כאמור חייב לממשלה מתוך סכומים שהממשלה חייבת לו, וזאת בדרך של ביצוע התקציב הרלוונטי והעברת הכסף להכנסות המדינה. כמו כן מוצע להסמיך את החשב הכללי במשרד האוצר או מי שהוסמך על ידו לפעול לגביית חוב כאמור כאילו היה מס שפקודת המסים (גביה) ח</w:t>
      </w:r>
      <w:r>
        <w:rPr>
          <w:rFonts w:cs="David"/>
          <w:sz w:val="26"/>
          <w:szCs w:val="26"/>
          <w:rtl/>
        </w:rPr>
        <w:t>לה עליו</w:t>
      </w:r>
      <w:r>
        <w:rPr>
          <w:sz w:val="20"/>
          <w:szCs w:val="20"/>
          <w:rtl/>
        </w:rPr>
        <w:t>.</w:t>
      </w:r>
    </w:p>
    <w:p w:rsidR="00000000" w:rsidRDefault="000B03A6">
      <w:pPr>
        <w:rPr>
          <w:sz w:val="20"/>
          <w:szCs w:val="20"/>
          <w:rtl/>
        </w:rPr>
      </w:pPr>
    </w:p>
    <w:p w:rsidR="00000000" w:rsidRDefault="000B03A6">
      <w:pPr>
        <w:rPr>
          <w:rFonts w:cs="David"/>
          <w:sz w:val="26"/>
          <w:szCs w:val="26"/>
          <w:rtl/>
        </w:rPr>
      </w:pPr>
      <w:r>
        <w:rPr>
          <w:rFonts w:cs="David"/>
          <w:sz w:val="26"/>
          <w:szCs w:val="26"/>
          <w:rtl/>
        </w:rPr>
        <w:t>הצעת חוק זהה הוגשה על ידי הממשלה במסגרת הצעת חוק התכנית להבראת כלכלת ישראל (תיקוני חקיקה להשגת יעדי התקציב והמדיניות הכלכלית לשנות הכספים 2003 ו – 2004), התשס"ג – 2003, אולם חקיקת החוק לא הגיעה לכלל סיום.</w:t>
      </w:r>
    </w:p>
    <w:p w:rsidR="00000000" w:rsidRDefault="000B03A6">
      <w:pPr>
        <w:rPr>
          <w:rFonts w:cs="David"/>
          <w:sz w:val="26"/>
          <w:szCs w:val="26"/>
          <w:rtl/>
        </w:rPr>
      </w:pPr>
    </w:p>
    <w:p w:rsidR="00000000" w:rsidRDefault="000B03A6">
      <w:pPr>
        <w:rPr>
          <w:rFonts w:cs="David"/>
          <w:sz w:val="26"/>
          <w:szCs w:val="26"/>
          <w:rtl/>
        </w:rPr>
      </w:pPr>
      <w:r>
        <w:rPr>
          <w:rFonts w:cs="David"/>
          <w:sz w:val="26"/>
          <w:szCs w:val="26"/>
          <w:rtl/>
        </w:rPr>
        <w:t>הצעת חוק זהה הונחה על שולחן הכנסת השש עש</w:t>
      </w:r>
      <w:r>
        <w:rPr>
          <w:rFonts w:cs="David"/>
          <w:sz w:val="26"/>
          <w:szCs w:val="26"/>
          <w:rtl/>
        </w:rPr>
        <w:t>רה על ידי חבר הכנסת שאול יהלום (פ/1581).</w:t>
      </w:r>
    </w:p>
    <w:p w:rsidR="00000000" w:rsidRDefault="000B03A6">
      <w:pPr>
        <w:rPr>
          <w:rFonts w:cs="David"/>
          <w:sz w:val="26"/>
          <w:szCs w:val="26"/>
          <w:rtl/>
        </w:rPr>
      </w:pPr>
    </w:p>
    <w:p w:rsidR="00000000" w:rsidRDefault="000B03A6">
      <w:pPr>
        <w:rPr>
          <w:rFonts w:cs="David"/>
          <w:sz w:val="26"/>
          <w:szCs w:val="26"/>
          <w:rtl/>
        </w:rPr>
      </w:pPr>
    </w:p>
    <w:p w:rsidR="00000000" w:rsidRDefault="000B03A6">
      <w:pPr>
        <w:rPr>
          <w:rFonts w:cs="David"/>
          <w:sz w:val="26"/>
          <w:szCs w:val="26"/>
          <w:rtl/>
        </w:rPr>
      </w:pPr>
    </w:p>
    <w:p w:rsidR="00000000" w:rsidRDefault="000B03A6">
      <w:pPr>
        <w:rPr>
          <w:rFonts w:cs="David"/>
          <w:sz w:val="26"/>
          <w:szCs w:val="26"/>
          <w:rtl/>
        </w:rPr>
      </w:pPr>
    </w:p>
    <w:p w:rsidR="00000000" w:rsidRDefault="000B03A6">
      <w:pPr>
        <w:rPr>
          <w:rFonts w:cs="David"/>
          <w:sz w:val="26"/>
          <w:szCs w:val="26"/>
          <w:rtl/>
        </w:rPr>
      </w:pPr>
      <w:r>
        <w:rPr>
          <w:rFonts w:cs="David"/>
          <w:sz w:val="26"/>
          <w:szCs w:val="26"/>
          <w:rtl/>
        </w:rPr>
        <w:t>-----------------------------</w:t>
      </w:r>
    </w:p>
    <w:p w:rsidR="00000000" w:rsidRDefault="000B03A6">
      <w:pPr>
        <w:spacing w:line="360" w:lineRule="auto"/>
        <w:rPr>
          <w:rFonts w:cs="David"/>
          <w:sz w:val="26"/>
          <w:szCs w:val="26"/>
          <w:rtl/>
        </w:rPr>
      </w:pPr>
      <w:r>
        <w:rPr>
          <w:rFonts w:cs="David"/>
          <w:sz w:val="26"/>
          <w:szCs w:val="26"/>
          <w:rtl/>
        </w:rPr>
        <w:t>הוגשה ליו"ר הכנסת והסגנים</w:t>
      </w:r>
    </w:p>
    <w:p w:rsidR="00000000" w:rsidRDefault="000B03A6">
      <w:pPr>
        <w:spacing w:line="360" w:lineRule="auto"/>
        <w:rPr>
          <w:rFonts w:cs="David"/>
          <w:sz w:val="26"/>
          <w:szCs w:val="26"/>
          <w:rtl/>
        </w:rPr>
      </w:pPr>
      <w:r>
        <w:rPr>
          <w:rFonts w:cs="David"/>
          <w:sz w:val="26"/>
          <w:szCs w:val="26"/>
          <w:rtl/>
        </w:rPr>
        <w:t>והונחה על שולחן הכנסת ביום</w:t>
      </w:r>
    </w:p>
    <w:p w:rsidR="00000000" w:rsidRDefault="000B03A6">
      <w:pPr>
        <w:spacing w:line="360" w:lineRule="auto"/>
        <w:rPr>
          <w:rFonts w:cs="David"/>
          <w:sz w:val="26"/>
          <w:szCs w:val="26"/>
        </w:rPr>
      </w:pPr>
      <w:r>
        <w:rPr>
          <w:rFonts w:cs="David"/>
          <w:sz w:val="26"/>
          <w:szCs w:val="26"/>
          <w:rtl/>
        </w:rPr>
        <w:t>כ"ג בתמוז התשס"ו – 19.7.06</w:t>
      </w:r>
    </w:p>
    <w:p w:rsidR="00000000" w:rsidRDefault="000B03A6">
      <w:pPr>
        <w:pStyle w:val="a3"/>
        <w:jc w:val="left"/>
        <w:rPr>
          <w:rFonts w:cs="David"/>
          <w:u w:val="none"/>
        </w:rPr>
      </w:pPr>
    </w:p>
    <w:sectPr w:rsidR="00000000">
      <w:headerReference w:type="default" r:id="rId6"/>
      <w:pgSz w:w="11906" w:h="16838"/>
      <w:pgMar w:top="899"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B03A6">
      <w:r>
        <w:separator/>
      </w:r>
    </w:p>
  </w:endnote>
  <w:endnote w:type="continuationSeparator" w:id="0">
    <w:p w:rsidR="00000000" w:rsidRDefault="000B0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B03A6">
      <w:r>
        <w:separator/>
      </w:r>
    </w:p>
  </w:footnote>
  <w:footnote w:type="continuationSeparator" w:id="0">
    <w:p w:rsidR="00000000" w:rsidRDefault="000B03A6">
      <w:r>
        <w:continuationSeparator/>
      </w:r>
    </w:p>
  </w:footnote>
  <w:footnote w:id="1">
    <w:p w:rsidR="00000000" w:rsidRDefault="000B03A6">
      <w:pPr>
        <w:pStyle w:val="a8"/>
      </w:pPr>
      <w:r>
        <w:rPr>
          <w:rStyle w:val="aa"/>
          <w:rFonts w:cs="David"/>
        </w:rPr>
        <w:footnoteRef/>
      </w:r>
      <w:r>
        <w:rPr>
          <w:rFonts w:cs="David"/>
        </w:rPr>
        <w:t xml:space="preserve"> </w:t>
      </w:r>
      <w:r>
        <w:rPr>
          <w:rFonts w:cs="David"/>
          <w:rtl/>
        </w:rPr>
        <w:t xml:space="preserve"> ס"ח התשמ"ה, עמ' 60.</w:t>
      </w:r>
    </w:p>
  </w:footnote>
  <w:footnote w:id="2">
    <w:p w:rsidR="00000000" w:rsidRDefault="000B03A6">
      <w:pPr>
        <w:pStyle w:val="a8"/>
      </w:pPr>
      <w:r>
        <w:rPr>
          <w:rStyle w:val="aa"/>
          <w:rFonts w:cs="David"/>
        </w:rPr>
        <w:footnoteRef/>
      </w:r>
      <w:r>
        <w:rPr>
          <w:rFonts w:cs="David"/>
        </w:rPr>
        <w:t xml:space="preserve"> </w:t>
      </w:r>
      <w:r>
        <w:rPr>
          <w:rFonts w:cs="David"/>
          <w:rtl/>
        </w:rPr>
        <w:t xml:space="preserve"> דיני מדינת ישראל, נוסח חדש 6, עמ' 120.</w:t>
      </w:r>
    </w:p>
  </w:footnote>
  <w:footnote w:id="3">
    <w:p w:rsidR="00000000" w:rsidRDefault="000B03A6">
      <w:pPr>
        <w:pStyle w:val="a8"/>
      </w:pPr>
      <w:r>
        <w:rPr>
          <w:rStyle w:val="aa"/>
          <w:rFonts w:cs="David"/>
        </w:rPr>
        <w:footnoteRef/>
      </w:r>
      <w:r>
        <w:rPr>
          <w:rFonts w:cs="David"/>
        </w:rPr>
        <w:t xml:space="preserve"> </w:t>
      </w:r>
      <w:r>
        <w:rPr>
          <w:rFonts w:cs="David"/>
          <w:rtl/>
        </w:rPr>
        <w:t xml:space="preserve"> ס"ח התשי"ז, עמ' 63.</w:t>
      </w:r>
    </w:p>
  </w:footnote>
  <w:footnote w:id="4">
    <w:p w:rsidR="00000000" w:rsidRDefault="000B03A6">
      <w:pPr>
        <w:pStyle w:val="a8"/>
      </w:pPr>
      <w:r>
        <w:rPr>
          <w:rStyle w:val="aa"/>
          <w:rFonts w:cs="David"/>
        </w:rPr>
        <w:footnoteRef/>
      </w:r>
      <w:r>
        <w:rPr>
          <w:rFonts w:cs="David"/>
        </w:rPr>
        <w:t xml:space="preserve"> </w:t>
      </w:r>
      <w:r>
        <w:rPr>
          <w:rFonts w:cs="David"/>
          <w:rtl/>
        </w:rPr>
        <w:t xml:space="preserve"> ס"ח התשי"ט, עמ' 86.</w:t>
      </w:r>
    </w:p>
  </w:footnote>
  <w:footnote w:id="5">
    <w:p w:rsidR="00000000" w:rsidRDefault="000B03A6">
      <w:pPr>
        <w:pStyle w:val="a8"/>
      </w:pPr>
      <w:r>
        <w:rPr>
          <w:rStyle w:val="aa"/>
        </w:rPr>
        <w:footnoteRef/>
      </w:r>
      <w:r>
        <w:t xml:space="preserve"> </w:t>
      </w:r>
      <w:r>
        <w:rPr>
          <w:rtl/>
        </w:rPr>
        <w:t xml:space="preserve">   </w:t>
      </w:r>
      <w:r>
        <w:rPr>
          <w:rFonts w:cs="David"/>
          <w:rtl/>
        </w:rPr>
        <w:t>חוקי ארץ ישראל, כרך ב', עמ' (ע) 1374, (א) 1399</w:t>
      </w:r>
      <w:r>
        <w:rPr>
          <w:rtl/>
        </w:rPr>
        <w:t>.</w:t>
      </w:r>
    </w:p>
  </w:footnote>
  <w:footnote w:id="6">
    <w:p w:rsidR="00000000" w:rsidRDefault="000B03A6">
      <w:pPr>
        <w:pStyle w:val="a8"/>
      </w:pPr>
      <w:r>
        <w:rPr>
          <w:rStyle w:val="aa"/>
          <w:rFonts w:cs="David"/>
        </w:rPr>
        <w:footnoteRef/>
      </w:r>
      <w:r>
        <w:rPr>
          <w:rFonts w:cs="David"/>
        </w:rPr>
        <w:t xml:space="preserve"> </w:t>
      </w:r>
      <w:r>
        <w:rPr>
          <w:rFonts w:cs="David"/>
          <w:rtl/>
        </w:rPr>
        <w:t xml:space="preserve"> ס"ח התש"ם, עמ' 50.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03A6">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0B03A6">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8354äâáìú ùëø.doc"/>
    <w:docVar w:name="StartMode" w:val="2"/>
  </w:docVars>
  <w:rsids>
    <w:rsidRoot w:val="000B03A6"/>
    <w:rsid w:val="000B0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jc w:val="both"/>
      <w:outlineLvl w:val="1"/>
    </w:pPr>
    <w:rPr>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1184</Words>
  <Characters>5923</Characters>
  <Application>Microsoft Office Word</Application>
  <DocSecurity>0</DocSecurity>
  <Lines>49</Lines>
  <Paragraphs>14</Paragraphs>
  <ScaleCrop>false</ScaleCrop>
  <Company>knesset</Company>
  <LinksUpToDate>false</LinksUpToDate>
  <CharactersWithSpaces>7093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יסודות התקציב (תיקון - שכר מרבי לעובדים חדשים המועסקים בגוף מתוקצב או גוף נתמך), התשס"ו-2006</dc:title>
  <dc:subject/>
  <dc:creator>Knesset</dc:creator>
  <cp:keywords/>
  <dc:description/>
  <cp:lastModifiedBy>שמואל כוכב</cp:lastModifiedBy>
  <cp:revision>2</cp:revision>
  <cp:lastPrinted>2006-07-17T12:10:00Z</cp:lastPrinted>
  <dcterms:created xsi:type="dcterms:W3CDTF">2015-02-03T16:51:00Z</dcterms:created>
  <dcterms:modified xsi:type="dcterms:W3CDTF">2015-02-03T16:51:00Z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03995706</vt:lpwstr>
  </property>
  <property fmtid="{D5CDD505-2E9C-101B-9397-08002B2CF9AE}" pid="10" name="מספר הצעת חוק למיון">
    <vt:lpwstr>1387</vt:lpwstr>
  </property>
  <property fmtid="{D5CDD505-2E9C-101B-9397-08002B2CF9AE}" pid="11" name="SDDocDate">
    <vt:lpwstr>2006-07-17T00:00:00Z</vt:lpwstr>
  </property>
  <property fmtid="{D5CDD505-2E9C-101B-9397-08002B2CF9AE}" pid="12" name="SDHebDate">
    <vt:lpwstr>כ"א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פ/1387/17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