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F4901">
      <w:pPr>
        <w:pStyle w:val="a3"/>
        <w:spacing w:line="360" w:lineRule="auto"/>
        <w:jc w:val="left"/>
        <w:rPr>
          <w:rFonts w:cs="David"/>
          <w:b w:val="0"/>
          <w:bCs w:val="0"/>
          <w:sz w:val="24"/>
          <w:szCs w:val="24"/>
          <w:u w:val="none"/>
          <w:rtl/>
        </w:rPr>
      </w:pPr>
      <w:bookmarkStart w:id="0" w:name="_GoBack"/>
      <w:bookmarkEnd w:id="0"/>
    </w:p>
    <w:p w:rsidR="00000000" w:rsidRDefault="004F4901">
      <w:pPr>
        <w:pStyle w:val="a3"/>
        <w:spacing w:line="360" w:lineRule="auto"/>
        <w:rPr>
          <w:rFonts w:cs="David"/>
          <w:b w:val="0"/>
          <w:bCs w:val="0"/>
          <w:sz w:val="26"/>
          <w:szCs w:val="26"/>
          <w:u w:val="none"/>
          <w:rtl/>
        </w:rPr>
      </w:pPr>
      <w:r>
        <w:rPr>
          <w:rFonts w:cs="David"/>
          <w:u w:val="none"/>
          <w:rtl/>
        </w:rPr>
        <w:t>הכנסת השבע-עשרה</w:t>
      </w:r>
    </w:p>
    <w:p w:rsidR="00000000" w:rsidRDefault="004F4901">
      <w:pPr>
        <w:spacing w:line="360" w:lineRule="auto"/>
        <w:rPr>
          <w:rFonts w:cs="David"/>
          <w:sz w:val="26"/>
          <w:szCs w:val="26"/>
          <w:rtl/>
        </w:rPr>
      </w:pPr>
    </w:p>
    <w:tbl>
      <w:tblPr>
        <w:bidiVisual/>
        <w:tblW w:w="0" w:type="auto"/>
        <w:tblInd w:w="4139" w:type="dxa"/>
        <w:tblBorders>
          <w:bottom w:val="single" w:sz="4" w:space="0" w:color="auto"/>
        </w:tblBorders>
        <w:tblLook w:val="0000" w:firstRow="0" w:lastRow="0" w:firstColumn="0" w:lastColumn="0" w:noHBand="0" w:noVBand="0"/>
      </w:tblPr>
      <w:tblGrid>
        <w:gridCol w:w="2864"/>
        <w:gridCol w:w="1519"/>
      </w:tblGrid>
      <w:tr w:rsidR="00000000">
        <w:tblPrEx>
          <w:tblCellMar>
            <w:top w:w="0" w:type="dxa"/>
            <w:bottom w:w="0" w:type="dxa"/>
          </w:tblCellMar>
        </w:tblPrEx>
        <w:tc>
          <w:tcPr>
            <w:tcW w:w="2864" w:type="dxa"/>
            <w:tcBorders>
              <w:top w:val="nil"/>
              <w:left w:val="nil"/>
              <w:bottom w:val="single" w:sz="4" w:space="0" w:color="auto"/>
              <w:right w:val="nil"/>
            </w:tcBorders>
          </w:tcPr>
          <w:p w:rsidR="00000000" w:rsidRDefault="004F4901">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p>
        </w:tc>
        <w:tc>
          <w:tcPr>
            <w:tcW w:w="1519" w:type="dxa"/>
            <w:tcBorders>
              <w:top w:val="nil"/>
              <w:left w:val="nil"/>
              <w:bottom w:val="single" w:sz="4" w:space="0" w:color="auto"/>
              <w:right w:val="nil"/>
            </w:tcBorders>
          </w:tcPr>
          <w:p w:rsidR="00000000" w:rsidRDefault="004F4901">
            <w:pPr>
              <w:spacing w:after="120" w:line="360" w:lineRule="auto"/>
              <w:rPr>
                <w:rFonts w:cs="David"/>
                <w:b/>
                <w:bCs/>
                <w:sz w:val="26"/>
                <w:szCs w:val="26"/>
              </w:rPr>
            </w:pPr>
            <w:r>
              <w:rPr>
                <w:rFonts w:cs="David"/>
                <w:b/>
                <w:bCs/>
                <w:sz w:val="26"/>
                <w:szCs w:val="26"/>
                <w:rtl/>
              </w:rPr>
              <w:t>זבולון אורלב</w:t>
            </w:r>
          </w:p>
        </w:tc>
      </w:tr>
    </w:tbl>
    <w:p w:rsidR="00000000" w:rsidRDefault="004F4901">
      <w:pPr>
        <w:spacing w:line="360" w:lineRule="auto"/>
        <w:rPr>
          <w:rFonts w:cs="David"/>
          <w:b/>
          <w:bCs/>
          <w:sz w:val="26"/>
          <w:szCs w:val="26"/>
          <w:rtl/>
        </w:rPr>
      </w:pPr>
      <w:r>
        <w:rPr>
          <w:rFonts w:cs="David"/>
          <w:sz w:val="26"/>
          <w:szCs w:val="26"/>
          <w:rtl/>
        </w:rPr>
        <w:t xml:space="preserve">                                                                                                                 </w:t>
      </w:r>
      <w:r>
        <w:rPr>
          <w:rFonts w:cs="David"/>
          <w:b/>
          <w:bCs/>
          <w:sz w:val="26"/>
          <w:szCs w:val="26"/>
          <w:rtl/>
        </w:rPr>
        <w:t>פ/1143/17</w:t>
      </w:r>
    </w:p>
    <w:p w:rsidR="00000000" w:rsidRDefault="004F4901">
      <w:pPr>
        <w:spacing w:line="360" w:lineRule="auto"/>
        <w:jc w:val="center"/>
        <w:rPr>
          <w:rFonts w:cs="David"/>
          <w:b/>
          <w:bCs/>
          <w:sz w:val="28"/>
          <w:szCs w:val="28"/>
          <w:rtl/>
        </w:rPr>
      </w:pPr>
      <w:r>
        <w:rPr>
          <w:rFonts w:cs="David"/>
          <w:b/>
          <w:bCs/>
          <w:sz w:val="28"/>
          <w:szCs w:val="28"/>
          <w:rtl/>
        </w:rPr>
        <w:t>הצעת חוק הסדרת התקשרות לצורך פרסומת, התשס"ו-2006</w:t>
      </w:r>
    </w:p>
    <w:p w:rsidR="00000000" w:rsidRDefault="004F4901">
      <w:pPr>
        <w:spacing w:line="360" w:lineRule="auto"/>
        <w:rPr>
          <w:rFonts w:cs="David"/>
          <w:sz w:val="26"/>
          <w:szCs w:val="26"/>
          <w:rtl/>
        </w:rPr>
      </w:pPr>
    </w:p>
    <w:tbl>
      <w:tblPr>
        <w:bidiVisual/>
        <w:tblW w:w="0" w:type="auto"/>
        <w:tblInd w:w="-8036" w:type="dxa"/>
        <w:tblLayout w:type="fixed"/>
        <w:tblCellMar>
          <w:left w:w="57" w:type="dxa"/>
          <w:right w:w="57" w:type="dxa"/>
        </w:tblCellMar>
        <w:tblLook w:val="0000" w:firstRow="0" w:lastRow="0" w:firstColumn="0" w:lastColumn="0" w:noHBand="0" w:noVBand="0"/>
      </w:tblPr>
      <w:tblGrid>
        <w:gridCol w:w="1145"/>
        <w:gridCol w:w="548"/>
        <w:gridCol w:w="1"/>
        <w:gridCol w:w="1145"/>
        <w:gridCol w:w="1"/>
        <w:gridCol w:w="548"/>
        <w:gridCol w:w="567"/>
        <w:gridCol w:w="1"/>
        <w:gridCol w:w="5948"/>
      </w:tblGrid>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r>
              <w:rPr>
                <w:rFonts w:cs="David"/>
                <w:sz w:val="26"/>
                <w:szCs w:val="26"/>
                <w:rtl/>
              </w:rPr>
              <w:t>הגדרות ופרשנות</w:t>
            </w:r>
          </w:p>
        </w:tc>
        <w:tc>
          <w:tcPr>
            <w:tcW w:w="548"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1.</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 xml:space="preserve">בחוק זה -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 xml:space="preserve">"דבר פרסומת" – מסר המופץ באופן מסחרי, שמטרתו לעודד </w:t>
            </w:r>
            <w:r>
              <w:rPr>
                <w:rFonts w:cs="David"/>
                <w:sz w:val="26"/>
                <w:szCs w:val="26"/>
                <w:rtl/>
              </w:rPr>
              <w:t xml:space="preserve">רכישת מוצר או שירות או לעודד הוצאת כספים בדרך אחרת;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 xml:space="preserve">"הודעת דואר אלקטרוני" – מסר בזק מקודד המועבר ברשת האינטרנט אל נמען או קבוצה של נמענים, וניתן לשמירה ולאחזור בדרך ממוחשבת;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"הודעת מסר קצר" – מסר בזק הכולל כתב, לרבות אותות או סימנים, או מסר בזק הכו</w:t>
            </w:r>
            <w:r>
              <w:rPr>
                <w:rFonts w:cs="David"/>
                <w:sz w:val="26"/>
                <w:szCs w:val="26"/>
                <w:rtl/>
              </w:rPr>
              <w:t>לל חוזי או שמע, ומועבר באמצעות רשת בזק ציבורית אל ציוד קצה של נמען או קבוצה של נמענים;</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"מערכת חיוג אוטומטי" – מיתקן בזק המשמש לחיוג או לניתוב אוטומטיים של רצף שיחות לקבוצה של נמענים לשם העברת מסר קולי מוקלט אל אותם נמענים;</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"מפרסם" – מי ששמו או מענו מ</w:t>
            </w:r>
            <w:r>
              <w:rPr>
                <w:rFonts w:cs="David"/>
                <w:sz w:val="26"/>
                <w:szCs w:val="26"/>
                <w:rtl/>
              </w:rPr>
              <w:t>ופיעים בדבר הפרסומת כמען להתקשרות לשם רכישתו של נושא דבר הפרסומת, מי שתוכנו של דבר הפרסומת עשוי לפרסם את עסקיו או לקדם את מטרותיו, או מי שמשווק את נושא דבר הפרסומת בעבור אחר, אך למעט מי שביצע את פעולת השיגור כשירות בזק לפי רשיון כללי, רשיון מיוחד או מכוח ה</w:t>
            </w:r>
            <w:r>
              <w:rPr>
                <w:rFonts w:cs="David"/>
                <w:sz w:val="26"/>
                <w:szCs w:val="26"/>
                <w:rtl/>
              </w:rPr>
              <w:t>יתר כללי, שניתנו לפי חוק התקשורת (בזק ושידורים), התשמ"ב-1982</w:t>
            </w:r>
            <w:r>
              <w:rPr>
                <w:rStyle w:val="aa"/>
                <w:rFonts w:cs="David"/>
                <w:sz w:val="26"/>
                <w:szCs w:val="26"/>
                <w:rtl/>
              </w:rPr>
              <w:footnoteReference w:id="1"/>
            </w:r>
            <w:r>
              <w:rPr>
                <w:rFonts w:cs="David"/>
                <w:sz w:val="26"/>
                <w:szCs w:val="26"/>
                <w:rtl/>
              </w:rPr>
              <w:t xml:space="preserve"> (להלן – חוק התקשורת);</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"השר" – שר התקשורת.</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לכל מונח בחוק זה תהיה המשמעות שיש לו בחוק התקשורת, זולת אם יש בחוק זה הוראה מפורשת אחרת.</w:t>
            </w:r>
          </w:p>
          <w:p w:rsidR="00000000" w:rsidRDefault="004F4901">
            <w:pPr>
              <w:spacing w:after="120" w:line="360" w:lineRule="auto"/>
              <w:jc w:val="both"/>
              <w:rPr>
                <w:rFonts w:cs="David"/>
                <w:sz w:val="26"/>
                <w:szCs w:val="26"/>
                <w:rtl/>
              </w:rPr>
            </w:pPr>
            <w:r>
              <w:rPr>
                <w:rFonts w:cs="David"/>
                <w:sz w:val="26"/>
                <w:szCs w:val="26"/>
                <w:rtl/>
              </w:rPr>
              <w:t xml:space="preserve">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r>
              <w:rPr>
                <w:rFonts w:cs="David"/>
                <w:sz w:val="26"/>
                <w:szCs w:val="26"/>
                <w:rtl/>
              </w:rPr>
              <w:lastRenderedPageBreak/>
              <w:t xml:space="preserve">תנאים לשיגור דבר פרסומת </w:t>
            </w:r>
          </w:p>
        </w:tc>
        <w:tc>
          <w:tcPr>
            <w:tcW w:w="548" w:type="dxa"/>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2.</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לא</w:t>
            </w:r>
            <w:r>
              <w:rPr>
                <w:rFonts w:cs="David"/>
                <w:sz w:val="26"/>
                <w:szCs w:val="26"/>
                <w:rtl/>
              </w:rPr>
              <w:t xml:space="preserve"> ישגר מפרסם דבר פרסומת באמצעות פקסימילה, מערכת חיוג אוטומטי, הודעת דואר אלקטרוני או הודעת מסר קצר, בלא קבלת הסכמה מפורשת מראש של הנמען; פניה חד פעמית מטעם מפרסם לנמען שהוא בית עסק, באחת הדרכים האמורות בסעיף זה, המהווה הצעה להסכים לקבלת דברי פרסומת מטעמו, ל</w:t>
            </w:r>
            <w:r>
              <w:rPr>
                <w:rFonts w:cs="David"/>
                <w:sz w:val="26"/>
                <w:szCs w:val="26"/>
                <w:rtl/>
              </w:rPr>
              <w:t xml:space="preserve">א תיחשב הפרה של הוראות סעיף זה. </w:t>
            </w:r>
          </w:p>
          <w:p w:rsidR="00000000" w:rsidRDefault="004F4901">
            <w:pPr>
              <w:spacing w:after="120" w:line="360" w:lineRule="auto"/>
              <w:jc w:val="both"/>
              <w:rPr>
                <w:rFonts w:cs="David"/>
                <w:sz w:val="26"/>
                <w:szCs w:val="26"/>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r>
              <w:rPr>
                <w:rFonts w:cs="David"/>
                <w:sz w:val="26"/>
                <w:szCs w:val="26"/>
                <w:rtl/>
              </w:rPr>
              <w:t>שיגור דבר פרסומת ללא הסכמה</w:t>
            </w:r>
          </w:p>
        </w:tc>
        <w:tc>
          <w:tcPr>
            <w:tcW w:w="548" w:type="dxa"/>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3.</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על אף הוראות סעיף 2, רשאי מפרסם לשגר דבר פרסומת כאמור באותו סעיף אף אם לא התקבלה הסכמתו של הנמען, בהתקיים כל אלה:</w:t>
            </w:r>
          </w:p>
        </w:tc>
      </w:tr>
      <w:tr w:rsidR="00000000">
        <w:tblPrEx>
          <w:tblCellMar>
            <w:top w:w="0" w:type="dxa"/>
            <w:bottom w:w="0" w:type="dxa"/>
          </w:tblCellMar>
        </w:tblPrEx>
        <w:trPr>
          <w:gridBefore w:val="3"/>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gridSpan w:val="2"/>
            <w:tcBorders>
              <w:top w:val="nil"/>
              <w:left w:val="nil"/>
              <w:bottom w:val="nil"/>
              <w:right w:val="nil"/>
            </w:tcBorders>
          </w:tcPr>
          <w:p w:rsidR="00000000" w:rsidRDefault="004F4901">
            <w:pPr>
              <w:spacing w:after="120" w:line="360" w:lineRule="auto"/>
              <w:rPr>
                <w:rFonts w:cs="David"/>
                <w:sz w:val="26"/>
                <w:szCs w:val="26"/>
              </w:rPr>
            </w:pPr>
          </w:p>
        </w:tc>
        <w:tc>
          <w:tcPr>
            <w:tcW w:w="567" w:type="dxa"/>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(1)</w:t>
            </w:r>
          </w:p>
        </w:tc>
        <w:tc>
          <w:tcPr>
            <w:tcW w:w="5948" w:type="dxa"/>
            <w:gridSpan w:val="2"/>
            <w:tcBorders>
              <w:top w:val="nil"/>
              <w:left w:val="nil"/>
              <w:bottom w:val="nil"/>
              <w:right w:val="nil"/>
            </w:tcBorders>
          </w:tcPr>
          <w:p w:rsidR="00000000" w:rsidRDefault="004F4901">
            <w:pPr>
              <w:spacing w:after="120" w:line="360" w:lineRule="auto"/>
              <w:jc w:val="both"/>
              <w:rPr>
                <w:rFonts w:cs="David"/>
                <w:sz w:val="26"/>
                <w:szCs w:val="26"/>
              </w:rPr>
            </w:pPr>
            <w:r>
              <w:rPr>
                <w:rFonts w:cs="David"/>
                <w:sz w:val="26"/>
                <w:szCs w:val="26"/>
                <w:rtl/>
              </w:rPr>
              <w:t>הנמען מסר את פרטיו למפרסם במהלך רכישה של מוצר או שירות, או במהלך משא ו</w:t>
            </w:r>
            <w:r>
              <w:rPr>
                <w:rFonts w:cs="David"/>
                <w:sz w:val="26"/>
                <w:szCs w:val="26"/>
                <w:rtl/>
              </w:rPr>
              <w:t>מתן לרכישה כאמור, והמפרסם הודיע לו כי הפרטים שמסר ישמשו לצורך משלוח דבר פרסומת מטעמו, באחת הדרכים האמורות בסעיף 2;</w:t>
            </w:r>
          </w:p>
        </w:tc>
      </w:tr>
      <w:tr w:rsidR="00000000">
        <w:tblPrEx>
          <w:tblCellMar>
            <w:top w:w="0" w:type="dxa"/>
            <w:bottom w:w="0" w:type="dxa"/>
          </w:tblCellMar>
        </w:tblPrEx>
        <w:trPr>
          <w:gridBefore w:val="3"/>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gridSpan w:val="2"/>
            <w:tcBorders>
              <w:top w:val="nil"/>
              <w:left w:val="nil"/>
              <w:bottom w:val="nil"/>
              <w:right w:val="nil"/>
            </w:tcBorders>
          </w:tcPr>
          <w:p w:rsidR="00000000" w:rsidRDefault="004F4901">
            <w:pPr>
              <w:spacing w:after="120" w:line="360" w:lineRule="auto"/>
              <w:rPr>
                <w:rFonts w:cs="David"/>
                <w:sz w:val="26"/>
                <w:szCs w:val="26"/>
              </w:rPr>
            </w:pPr>
          </w:p>
        </w:tc>
        <w:tc>
          <w:tcPr>
            <w:tcW w:w="567"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(2)</w:t>
            </w:r>
          </w:p>
        </w:tc>
        <w:tc>
          <w:tcPr>
            <w:tcW w:w="5948" w:type="dxa"/>
            <w:gridSpan w:val="2"/>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המפרסם נתן לנמען הזדמנות להודיע כי הוא מסרב לקבל דברי פרסומת כאמור, דרך כלל או מסוג מסוים, והנמען לא עשה כן;</w:t>
            </w:r>
          </w:p>
        </w:tc>
      </w:tr>
      <w:tr w:rsidR="00000000">
        <w:tblPrEx>
          <w:tblCellMar>
            <w:top w:w="0" w:type="dxa"/>
            <w:bottom w:w="0" w:type="dxa"/>
          </w:tblCellMar>
        </w:tblPrEx>
        <w:trPr>
          <w:gridBefore w:val="3"/>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gridSpan w:val="2"/>
            <w:tcBorders>
              <w:top w:val="nil"/>
              <w:left w:val="nil"/>
              <w:bottom w:val="nil"/>
              <w:right w:val="nil"/>
            </w:tcBorders>
          </w:tcPr>
          <w:p w:rsidR="00000000" w:rsidRDefault="004F4901">
            <w:pPr>
              <w:spacing w:after="120" w:line="360" w:lineRule="auto"/>
              <w:rPr>
                <w:rFonts w:cs="David"/>
                <w:sz w:val="26"/>
                <w:szCs w:val="26"/>
              </w:rPr>
            </w:pPr>
          </w:p>
        </w:tc>
        <w:tc>
          <w:tcPr>
            <w:tcW w:w="567"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(3)</w:t>
            </w:r>
          </w:p>
        </w:tc>
        <w:tc>
          <w:tcPr>
            <w:tcW w:w="5948" w:type="dxa"/>
            <w:gridSpan w:val="2"/>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דבר הפרסומת מתייחס</w:t>
            </w:r>
            <w:r>
              <w:rPr>
                <w:rFonts w:cs="David"/>
                <w:sz w:val="26"/>
                <w:szCs w:val="26"/>
                <w:rtl/>
              </w:rPr>
              <w:t xml:space="preserve"> למוצר או לשירות מסוג דומה למוצר או לשירות כאמור בפסקה (1).</w:t>
            </w:r>
          </w:p>
          <w:p w:rsidR="00000000" w:rsidRDefault="004F4901">
            <w:pPr>
              <w:spacing w:after="120" w:line="360" w:lineRule="auto"/>
              <w:jc w:val="both"/>
              <w:rPr>
                <w:rFonts w:cs="David"/>
                <w:sz w:val="26"/>
                <w:szCs w:val="26"/>
                <w:rtl/>
              </w:rPr>
            </w:pPr>
          </w:p>
        </w:tc>
      </w:tr>
      <w:tr w:rsidR="00000000">
        <w:tblPrEx>
          <w:tblCellMar>
            <w:top w:w="0" w:type="dxa"/>
            <w:bottom w:w="0" w:type="dxa"/>
          </w:tblCellMar>
        </w:tblPrEx>
        <w:trPr>
          <w:gridBefore w:val="3"/>
          <w:cantSplit/>
        </w:trPr>
        <w:tc>
          <w:tcPr>
            <w:tcW w:w="1145" w:type="dxa"/>
            <w:tcBorders>
              <w:top w:val="nil"/>
              <w:left w:val="nil"/>
              <w:bottom w:val="nil"/>
              <w:right w:val="nil"/>
            </w:tcBorders>
          </w:tcPr>
          <w:p w:rsidR="00000000" w:rsidRDefault="004F4901">
            <w:pPr>
              <w:spacing w:after="120"/>
              <w:rPr>
                <w:rFonts w:cs="David"/>
                <w:sz w:val="26"/>
                <w:szCs w:val="26"/>
              </w:rPr>
            </w:pPr>
            <w:r>
              <w:rPr>
                <w:rFonts w:cs="David"/>
                <w:sz w:val="26"/>
                <w:szCs w:val="26"/>
                <w:rtl/>
              </w:rPr>
              <w:t>הודעת סירוב</w:t>
            </w:r>
          </w:p>
        </w:tc>
        <w:tc>
          <w:tcPr>
            <w:tcW w:w="548" w:type="dxa"/>
            <w:gridSpan w:val="2"/>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4.</w:t>
            </w:r>
          </w:p>
        </w:tc>
        <w:tc>
          <w:tcPr>
            <w:tcW w:w="6515" w:type="dxa"/>
            <w:gridSpan w:val="3"/>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הסכים הנמען לקבלת דברי פרסומת לפי הוראות סעיף 2 או לא הודיע על סירובו לקבלם לפי הוראות סעיף 3, רשאי הוא, בכל עת, להודיע למפרסם על סירובו לקבל דברי פרסומת, דרך כלל או מסוג מסוים, ו</w:t>
            </w:r>
            <w:r>
              <w:rPr>
                <w:rFonts w:cs="David"/>
                <w:sz w:val="26"/>
                <w:szCs w:val="26"/>
                <w:rtl/>
              </w:rPr>
              <w:t>לחזור בו מהסכמתו, ככל שניתנה (בחוק זה – הודעת סירוב); הודעת הסירוב לא תהיה כרוכה בתשלום, למעט עלות משלוח ההודעה.</w:t>
            </w:r>
          </w:p>
          <w:p w:rsidR="00000000" w:rsidRDefault="004F4901">
            <w:pPr>
              <w:spacing w:after="120" w:line="360" w:lineRule="auto"/>
              <w:jc w:val="both"/>
              <w:rPr>
                <w:rFonts w:cs="David"/>
                <w:sz w:val="26"/>
                <w:szCs w:val="26"/>
                <w:rtl/>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r>
              <w:rPr>
                <w:rFonts w:cs="David"/>
                <w:sz w:val="26"/>
                <w:szCs w:val="26"/>
                <w:rtl/>
              </w:rPr>
              <w:t>חובת ציון פרטים</w:t>
            </w:r>
          </w:p>
        </w:tc>
        <w:tc>
          <w:tcPr>
            <w:tcW w:w="548" w:type="dxa"/>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5.</w:t>
            </w:r>
          </w:p>
        </w:tc>
        <w:tc>
          <w:tcPr>
            <w:tcW w:w="567" w:type="dxa"/>
            <w:gridSpan w:val="3"/>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(א)</w:t>
            </w:r>
          </w:p>
        </w:tc>
        <w:tc>
          <w:tcPr>
            <w:tcW w:w="6005" w:type="dxa"/>
            <w:gridSpan w:val="4"/>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מפרסם המשגר דבר פרסומת בהתאם להוראות חוק זה יכלול בו את הפרטים האלה באופן בולט וברור, שאין בו כדי להטעות:</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tcBorders>
              <w:top w:val="nil"/>
              <w:left w:val="nil"/>
              <w:bottom w:val="nil"/>
              <w:right w:val="nil"/>
            </w:tcBorders>
          </w:tcPr>
          <w:p w:rsidR="00000000" w:rsidRDefault="004F4901">
            <w:pPr>
              <w:spacing w:after="120" w:line="360" w:lineRule="auto"/>
              <w:rPr>
                <w:rFonts w:cs="David"/>
                <w:sz w:val="26"/>
                <w:szCs w:val="26"/>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Pr>
            </w:pPr>
          </w:p>
        </w:tc>
        <w:tc>
          <w:tcPr>
            <w:tcW w:w="548" w:type="dxa"/>
            <w:gridSpan w:val="3"/>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(1)</w:t>
            </w:r>
          </w:p>
        </w:tc>
        <w:tc>
          <w:tcPr>
            <w:tcW w:w="5457" w:type="dxa"/>
            <w:tcBorders>
              <w:top w:val="nil"/>
              <w:left w:val="nil"/>
              <w:bottom w:val="nil"/>
              <w:right w:val="nil"/>
            </w:tcBorders>
          </w:tcPr>
          <w:p w:rsidR="00000000" w:rsidRDefault="004F4901">
            <w:pPr>
              <w:spacing w:after="120" w:line="360" w:lineRule="auto"/>
              <w:jc w:val="both"/>
              <w:rPr>
                <w:rFonts w:cs="David"/>
                <w:sz w:val="26"/>
                <w:szCs w:val="26"/>
              </w:rPr>
            </w:pPr>
            <w:r>
              <w:rPr>
                <w:rFonts w:cs="David"/>
                <w:sz w:val="26"/>
                <w:szCs w:val="26"/>
                <w:rtl/>
              </w:rPr>
              <w:t>ציון</w:t>
            </w:r>
            <w:r>
              <w:rPr>
                <w:rFonts w:cs="David"/>
                <w:sz w:val="26"/>
                <w:szCs w:val="26"/>
                <w:rtl/>
              </w:rPr>
              <w:t xml:space="preserve"> היותו דבר פרסומת; ציון כאמור יופיע בתחילת דבר הפרסומת, ואם דבר הפרסומת משוגר באמצעות הודעת דואר אלקטרוני – בכותרת ההודעה;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tcBorders>
              <w:top w:val="nil"/>
              <w:left w:val="nil"/>
              <w:bottom w:val="nil"/>
              <w:right w:val="nil"/>
            </w:tcBorders>
          </w:tcPr>
          <w:p w:rsidR="00000000" w:rsidRDefault="004F4901">
            <w:pPr>
              <w:spacing w:after="120" w:line="360" w:lineRule="auto"/>
              <w:rPr>
                <w:rFonts w:cs="David"/>
                <w:sz w:val="26"/>
                <w:szCs w:val="26"/>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Pr>
            </w:pPr>
          </w:p>
        </w:tc>
        <w:tc>
          <w:tcPr>
            <w:tcW w:w="548" w:type="dxa"/>
            <w:gridSpan w:val="3"/>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(2)</w:t>
            </w:r>
          </w:p>
        </w:tc>
        <w:tc>
          <w:tcPr>
            <w:tcW w:w="5457" w:type="dxa"/>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שמו של המפרסם, כתובתו ודרכי יצירת הקשר עימו;</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tcBorders>
              <w:top w:val="nil"/>
              <w:left w:val="nil"/>
              <w:bottom w:val="nil"/>
              <w:right w:val="nil"/>
            </w:tcBorders>
          </w:tcPr>
          <w:p w:rsidR="00000000" w:rsidRDefault="004F4901">
            <w:pPr>
              <w:spacing w:after="120" w:line="360" w:lineRule="auto"/>
              <w:rPr>
                <w:rFonts w:cs="David"/>
                <w:sz w:val="26"/>
                <w:szCs w:val="26"/>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Pr>
            </w:pPr>
          </w:p>
        </w:tc>
        <w:tc>
          <w:tcPr>
            <w:tcW w:w="548" w:type="dxa"/>
            <w:gridSpan w:val="3"/>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(3)</w:t>
            </w:r>
          </w:p>
        </w:tc>
        <w:tc>
          <w:tcPr>
            <w:tcW w:w="5457" w:type="dxa"/>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זכותו של הנמען לשלוח בכל עת הודעת סירוב כאמור בסעיף 4, ודרך אפשרית למשלו</w:t>
            </w:r>
            <w:r>
              <w:rPr>
                <w:rFonts w:cs="David"/>
                <w:sz w:val="26"/>
                <w:szCs w:val="26"/>
                <w:rtl/>
              </w:rPr>
              <w:t>ח הודעה כאמור שהיא פשוטה וסבירה בנסיבות הענין, ואם דבר הפרסומת משוגר באמצעות הודעת דואר אלקטרוני – כתובת תקפה של המפרסם ברשת האינטרנט לצורך משלוח הודעת סירוב.</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p>
        </w:tc>
        <w:tc>
          <w:tcPr>
            <w:tcW w:w="548" w:type="dxa"/>
            <w:tcBorders>
              <w:top w:val="nil"/>
              <w:left w:val="nil"/>
              <w:bottom w:val="nil"/>
              <w:right w:val="nil"/>
            </w:tcBorders>
          </w:tcPr>
          <w:p w:rsidR="00000000" w:rsidRDefault="004F4901">
            <w:pPr>
              <w:spacing w:after="120" w:line="360" w:lineRule="auto"/>
              <w:rPr>
                <w:rFonts w:cs="David"/>
                <w:sz w:val="26"/>
                <w:szCs w:val="26"/>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(ב)</w:t>
            </w:r>
          </w:p>
        </w:tc>
        <w:tc>
          <w:tcPr>
            <w:tcW w:w="6005" w:type="dxa"/>
            <w:gridSpan w:val="4"/>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על אף הוראות סעיף קטן (א), על מפרסם המשגר דבר פרסומת באמצעות הודעת מסר קצר לכלול בדבר הפרס</w:t>
            </w:r>
            <w:r>
              <w:rPr>
                <w:rFonts w:cs="David"/>
                <w:sz w:val="26"/>
                <w:szCs w:val="26"/>
                <w:rtl/>
              </w:rPr>
              <w:t>ומת רק את שמו ואת דרכי יצירת הקשר עמו לצורך משלוח הודעת סירוב; ואולם רשאי השר, באישור ועדת המדע והטכנולוגיה של הכנסת, לקבוע כי הפרטים האמורים יובאו לידיעת הנמען בדרך אחרת כפי שיקבע.</w:t>
            </w:r>
          </w:p>
          <w:p w:rsidR="00000000" w:rsidRDefault="004F4901">
            <w:pPr>
              <w:spacing w:after="120" w:line="360" w:lineRule="auto"/>
              <w:jc w:val="both"/>
              <w:rPr>
                <w:rFonts w:cs="David"/>
                <w:sz w:val="26"/>
                <w:szCs w:val="26"/>
                <w:rtl/>
              </w:rPr>
            </w:pPr>
            <w:r>
              <w:rPr>
                <w:rFonts w:cs="David"/>
                <w:sz w:val="26"/>
                <w:szCs w:val="26"/>
                <w:rtl/>
              </w:rPr>
              <w:t xml:space="preserve">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Pr>
            </w:pPr>
            <w:r>
              <w:rPr>
                <w:rFonts w:cs="David"/>
                <w:sz w:val="26"/>
                <w:szCs w:val="26"/>
                <w:rtl/>
              </w:rPr>
              <w:t>עונשין</w:t>
            </w:r>
          </w:p>
        </w:tc>
        <w:tc>
          <w:tcPr>
            <w:tcW w:w="548" w:type="dxa"/>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6.</w:t>
            </w:r>
          </w:p>
        </w:tc>
        <w:tc>
          <w:tcPr>
            <w:tcW w:w="567" w:type="dxa"/>
            <w:gridSpan w:val="3"/>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(א)</w:t>
            </w:r>
          </w:p>
        </w:tc>
        <w:tc>
          <w:tcPr>
            <w:tcW w:w="548" w:type="dxa"/>
            <w:gridSpan w:val="3"/>
            <w:tcBorders>
              <w:top w:val="nil"/>
              <w:left w:val="nil"/>
              <w:bottom w:val="nil"/>
              <w:right w:val="nil"/>
            </w:tcBorders>
          </w:tcPr>
          <w:p w:rsidR="00000000" w:rsidRDefault="004F4901">
            <w:pPr>
              <w:spacing w:after="120" w:line="360" w:lineRule="auto"/>
              <w:rPr>
                <w:rFonts w:cs="David"/>
                <w:sz w:val="26"/>
                <w:szCs w:val="26"/>
              </w:rPr>
            </w:pPr>
            <w:r>
              <w:rPr>
                <w:rFonts w:cs="David"/>
                <w:sz w:val="26"/>
                <w:szCs w:val="26"/>
                <w:rtl/>
              </w:rPr>
              <w:t>(1)</w:t>
            </w:r>
          </w:p>
        </w:tc>
        <w:tc>
          <w:tcPr>
            <w:tcW w:w="5457" w:type="dxa"/>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 xml:space="preserve">מפרסם המשגר דבר פרסומת בניגוד להוראות סעיפים 2 או 3, </w:t>
            </w:r>
            <w:r>
              <w:rPr>
                <w:rFonts w:cs="David"/>
                <w:sz w:val="26"/>
                <w:szCs w:val="26"/>
                <w:rtl/>
              </w:rPr>
              <w:t>דינו - קנס כאמור בסעיף 61(א)(4) לחוק העונשין, התשל"ז-1977</w:t>
            </w:r>
            <w:r>
              <w:rPr>
                <w:rStyle w:val="aa"/>
                <w:rFonts w:cs="David"/>
                <w:sz w:val="26"/>
                <w:szCs w:val="26"/>
              </w:rPr>
              <w:footnoteReference w:id="2"/>
            </w:r>
            <w:r>
              <w:rPr>
                <w:rFonts w:cs="David"/>
                <w:sz w:val="26"/>
                <w:szCs w:val="26"/>
                <w:rtl/>
              </w:rPr>
              <w:t xml:space="preserve"> (להלן - חוק העונשין);</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tl/>
              </w:rPr>
            </w:pPr>
          </w:p>
        </w:tc>
        <w:tc>
          <w:tcPr>
            <w:tcW w:w="548" w:type="dxa"/>
            <w:gridSpan w:val="3"/>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(2)</w:t>
            </w:r>
          </w:p>
        </w:tc>
        <w:tc>
          <w:tcPr>
            <w:tcW w:w="5457" w:type="dxa"/>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 xml:space="preserve">מפרסם המשגר דבר פרסומת שלא נכללו בו הפרטים האמורים בסעיף 4 באופן בולט וברור, או שיש בפרטים שנכללו בו כדי להטעות, בניגוד להוראות אותו סעיף, דינו </w:t>
            </w:r>
            <w:r>
              <w:rPr>
                <w:rFonts w:cs="David"/>
                <w:sz w:val="26"/>
                <w:szCs w:val="26"/>
                <w:rtl/>
              </w:rPr>
              <w:t>– קנס כאמור בסעיף 61(א)(3) לחוק העונשין.</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(ב)</w:t>
            </w:r>
          </w:p>
        </w:tc>
        <w:tc>
          <w:tcPr>
            <w:tcW w:w="6005" w:type="dxa"/>
            <w:gridSpan w:val="4"/>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מנהל של תאגיד וכן מי שאחראי לתחומי השיווק או הפרסום בתאגיד (בסעיף זה – נושא משרה בתאגיד) חייב לפקח ולעשות כל שניתן למניעת עבירה לפי סעיף קטן (א) בידי התאגיד או בידי עובד מעובדיו; המפר הוראה זו, דינו – קנס כאמ</w:t>
            </w:r>
            <w:r>
              <w:rPr>
                <w:rFonts w:cs="David"/>
                <w:sz w:val="26"/>
                <w:szCs w:val="26"/>
                <w:rtl/>
              </w:rPr>
              <w:t>ור בסעיף 61(א)(3) לחוק העונשין; נעברה עבירה בידי התאגיד או בידי עובד מעובדיו, חזקה היא כי נושא משרה בתאגיד הפר את חובתו לפי סעיף קטן זה, אלא אם כן עשה כל שניתן כדי למלא את חובתו.</w:t>
            </w:r>
          </w:p>
          <w:p w:rsidR="00000000" w:rsidRDefault="004F4901">
            <w:pPr>
              <w:spacing w:after="120" w:line="360" w:lineRule="auto"/>
              <w:jc w:val="both"/>
              <w:rPr>
                <w:rFonts w:cs="David"/>
                <w:sz w:val="26"/>
                <w:szCs w:val="26"/>
                <w:rtl/>
              </w:rPr>
            </w:pPr>
            <w:r>
              <w:rPr>
                <w:rFonts w:cs="David"/>
                <w:sz w:val="26"/>
                <w:szCs w:val="26"/>
                <w:rtl/>
              </w:rPr>
              <w:t xml:space="preserve">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r>
              <w:rPr>
                <w:rFonts w:cs="David"/>
                <w:sz w:val="26"/>
                <w:szCs w:val="26"/>
                <w:rtl/>
              </w:rPr>
              <w:t>עוולה בנזיקין ותובענה ייצוגית</w:t>
            </w:r>
          </w:p>
        </w:tc>
        <w:tc>
          <w:tcPr>
            <w:tcW w:w="548"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7.</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הפרת הוראות חוק זה היא עוולה אזרחית והור</w:t>
            </w:r>
            <w:r>
              <w:rPr>
                <w:rFonts w:cs="David"/>
                <w:sz w:val="26"/>
                <w:szCs w:val="26"/>
                <w:rtl/>
              </w:rPr>
              <w:t>אות פקודת הנזיקין [נוסח חדש]</w:t>
            </w:r>
            <w:r>
              <w:rPr>
                <w:rStyle w:val="aa"/>
                <w:rFonts w:cs="David"/>
                <w:sz w:val="26"/>
                <w:szCs w:val="26"/>
                <w:rtl/>
              </w:rPr>
              <w:footnoteReference w:id="3"/>
            </w:r>
            <w:r>
              <w:rPr>
                <w:rFonts w:cs="David"/>
                <w:sz w:val="26"/>
                <w:szCs w:val="26"/>
                <w:rtl/>
              </w:rPr>
              <w:t xml:space="preserve"> יחולו עליה, בכפוף להוראות חוק זה.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r>
              <w:rPr>
                <w:rFonts w:cs="David"/>
                <w:sz w:val="26"/>
                <w:szCs w:val="26"/>
                <w:rtl/>
              </w:rPr>
              <w:t>תקנות</w:t>
            </w:r>
          </w:p>
        </w:tc>
        <w:tc>
          <w:tcPr>
            <w:tcW w:w="548"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8.</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השר, באישור ועדת המדע והטכנולוגיה של הכנסת, רשאי לקבוע בתקנות הוראות לענין ביצוע חוק זה, לרבות לענין אופן מסירת הודעת המפרסם כאמור בסעיף</w:t>
            </w:r>
            <w:r>
              <w:rPr>
                <w:rFonts w:cs="David"/>
                <w:sz w:val="26"/>
                <w:szCs w:val="26"/>
                <w:rtl/>
              </w:rPr>
              <w:t xml:space="preserve"> 3(1) ואופן ציון הפרטים שיש לכלול בדבר פרסומת כאמור בסעיף 5, וכן פרטים נוספים שעל המפרסם לכלול בדבר הפרסומת.</w:t>
            </w:r>
          </w:p>
          <w:p w:rsidR="00000000" w:rsidRDefault="004F4901">
            <w:pPr>
              <w:spacing w:after="120" w:line="360" w:lineRule="auto"/>
              <w:jc w:val="both"/>
              <w:rPr>
                <w:rFonts w:cs="David"/>
                <w:sz w:val="26"/>
                <w:szCs w:val="26"/>
                <w:rtl/>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r>
              <w:rPr>
                <w:rFonts w:cs="David"/>
                <w:sz w:val="26"/>
                <w:szCs w:val="26"/>
                <w:rtl/>
              </w:rPr>
              <w:t>שמירת דינים</w:t>
            </w:r>
          </w:p>
        </w:tc>
        <w:tc>
          <w:tcPr>
            <w:tcW w:w="548"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9.</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אין בהוראות חוק זה כדי לגרוע מהוראות כל דין.</w:t>
            </w:r>
          </w:p>
          <w:p w:rsidR="00000000" w:rsidRDefault="004F4901">
            <w:pPr>
              <w:spacing w:after="120" w:line="360" w:lineRule="auto"/>
              <w:jc w:val="both"/>
              <w:rPr>
                <w:rFonts w:cs="David"/>
                <w:sz w:val="26"/>
                <w:szCs w:val="26"/>
                <w:rtl/>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r>
              <w:rPr>
                <w:rFonts w:cs="David"/>
                <w:sz w:val="26"/>
                <w:szCs w:val="26"/>
                <w:rtl/>
              </w:rPr>
              <w:t>תיקון חוק התקשורת</w:t>
            </w:r>
          </w:p>
        </w:tc>
        <w:tc>
          <w:tcPr>
            <w:tcW w:w="548"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10.</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בחוק התקשורת, סעיף 30א – בטל.</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r>
              <w:rPr>
                <w:rFonts w:cs="David"/>
                <w:sz w:val="26"/>
                <w:szCs w:val="26"/>
                <w:rtl/>
              </w:rPr>
              <w:t>תיקון חוק תובענות ייצוגיות</w:t>
            </w:r>
          </w:p>
        </w:tc>
        <w:tc>
          <w:tcPr>
            <w:tcW w:w="548" w:type="dxa"/>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11.</w:t>
            </w:r>
          </w:p>
        </w:tc>
        <w:tc>
          <w:tcPr>
            <w:tcW w:w="6572" w:type="dxa"/>
            <w:gridSpan w:val="7"/>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בחוק תובענות ייצוגיות, התשס"ו-2006</w:t>
            </w:r>
            <w:r>
              <w:rPr>
                <w:rStyle w:val="aa"/>
                <w:rFonts w:cs="David"/>
                <w:sz w:val="26"/>
                <w:szCs w:val="26"/>
                <w:rtl/>
              </w:rPr>
              <w:footnoteReference w:id="4"/>
            </w:r>
            <w:r>
              <w:rPr>
                <w:rFonts w:cs="David"/>
                <w:sz w:val="26"/>
                <w:szCs w:val="26"/>
                <w:rtl/>
              </w:rPr>
              <w:t>, בתוספת השניה, אחרי פרט 11 יבוא:</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4F4901">
            <w:pPr>
              <w:spacing w:after="120"/>
              <w:rPr>
                <w:rFonts w:cs="David"/>
                <w:sz w:val="26"/>
                <w:szCs w:val="26"/>
                <w:rtl/>
              </w:rPr>
            </w:pPr>
          </w:p>
        </w:tc>
        <w:tc>
          <w:tcPr>
            <w:tcW w:w="548" w:type="dxa"/>
            <w:tcBorders>
              <w:top w:val="nil"/>
              <w:left w:val="nil"/>
              <w:bottom w:val="nil"/>
              <w:right w:val="nil"/>
            </w:tcBorders>
          </w:tcPr>
          <w:p w:rsidR="00000000" w:rsidRDefault="004F4901">
            <w:pPr>
              <w:spacing w:after="120" w:line="360" w:lineRule="auto"/>
              <w:rPr>
                <w:rFonts w:cs="David"/>
                <w:sz w:val="26"/>
                <w:szCs w:val="26"/>
                <w:rtl/>
              </w:rPr>
            </w:pPr>
          </w:p>
        </w:tc>
        <w:tc>
          <w:tcPr>
            <w:tcW w:w="567" w:type="dxa"/>
            <w:gridSpan w:val="3"/>
            <w:tcBorders>
              <w:top w:val="nil"/>
              <w:left w:val="nil"/>
              <w:bottom w:val="nil"/>
              <w:right w:val="nil"/>
            </w:tcBorders>
          </w:tcPr>
          <w:p w:rsidR="00000000" w:rsidRDefault="004F4901">
            <w:pPr>
              <w:spacing w:after="120" w:line="360" w:lineRule="auto"/>
              <w:rPr>
                <w:rFonts w:cs="David"/>
                <w:sz w:val="26"/>
                <w:szCs w:val="26"/>
                <w:rtl/>
              </w:rPr>
            </w:pPr>
            <w:r>
              <w:rPr>
                <w:rFonts w:cs="David"/>
                <w:sz w:val="26"/>
                <w:szCs w:val="26"/>
                <w:rtl/>
              </w:rPr>
              <w:t>"12.</w:t>
            </w:r>
          </w:p>
        </w:tc>
        <w:tc>
          <w:tcPr>
            <w:tcW w:w="6005" w:type="dxa"/>
            <w:gridSpan w:val="4"/>
            <w:tcBorders>
              <w:top w:val="nil"/>
              <w:left w:val="nil"/>
              <w:bottom w:val="nil"/>
              <w:right w:val="nil"/>
            </w:tcBorders>
          </w:tcPr>
          <w:p w:rsidR="00000000" w:rsidRDefault="004F4901">
            <w:pPr>
              <w:spacing w:after="120" w:line="360" w:lineRule="auto"/>
              <w:jc w:val="both"/>
              <w:rPr>
                <w:rFonts w:cs="David"/>
                <w:sz w:val="26"/>
                <w:szCs w:val="26"/>
                <w:rtl/>
              </w:rPr>
            </w:pPr>
            <w:r>
              <w:rPr>
                <w:rFonts w:cs="David"/>
                <w:sz w:val="26"/>
                <w:szCs w:val="26"/>
                <w:rtl/>
              </w:rPr>
              <w:t>תביעה בעילה לפי חוק הסדרת התקשרות לצורך פרסומת, התשס"ו-2006."</w:t>
            </w:r>
          </w:p>
        </w:tc>
      </w:tr>
    </w:tbl>
    <w:p w:rsidR="00000000" w:rsidRDefault="004F4901">
      <w:pPr>
        <w:spacing w:line="360" w:lineRule="auto"/>
        <w:jc w:val="both"/>
        <w:rPr>
          <w:rFonts w:cs="David"/>
          <w:sz w:val="26"/>
          <w:szCs w:val="26"/>
          <w:rtl/>
        </w:rPr>
      </w:pPr>
    </w:p>
    <w:p w:rsidR="00000000" w:rsidRDefault="004F4901">
      <w:pPr>
        <w:jc w:val="center"/>
        <w:rPr>
          <w:rFonts w:cs="David"/>
          <w:sz w:val="26"/>
          <w:szCs w:val="26"/>
          <w:rtl/>
        </w:rPr>
      </w:pPr>
      <w:r>
        <w:rPr>
          <w:rFonts w:cs="David"/>
          <w:b/>
          <w:bCs/>
          <w:sz w:val="28"/>
          <w:szCs w:val="28"/>
          <w:u w:val="single"/>
          <w:rtl/>
        </w:rPr>
        <w:t>דברי - הסבר</w:t>
      </w:r>
    </w:p>
    <w:p w:rsidR="00000000" w:rsidRDefault="004F4901">
      <w:pPr>
        <w:jc w:val="both"/>
        <w:rPr>
          <w:rFonts w:cs="David"/>
          <w:sz w:val="26"/>
          <w:szCs w:val="26"/>
          <w:rtl/>
        </w:rPr>
      </w:pPr>
    </w:p>
    <w:p w:rsidR="00000000" w:rsidRDefault="004F4901">
      <w:pPr>
        <w:pStyle w:val="ab"/>
        <w:spacing w:line="240" w:lineRule="auto"/>
        <w:rPr>
          <w:rFonts w:cs="David"/>
          <w:rtl/>
        </w:rPr>
      </w:pPr>
      <w:r>
        <w:rPr>
          <w:rFonts w:cs="David"/>
          <w:rtl/>
        </w:rPr>
        <w:t xml:space="preserve">נוכח ההפצה ההמונית של פרסומות, לרבות באמצעות דואר אלקטרוני, פקס או הודעות </w:t>
      </w:r>
      <w:r>
        <w:rPr>
          <w:rFonts w:cs="David"/>
        </w:rPr>
        <w:t>SMS</w:t>
      </w:r>
      <w:r>
        <w:rPr>
          <w:rFonts w:cs="David"/>
          <w:rtl/>
        </w:rPr>
        <w:t xml:space="preserve">, מצד משווקים ומפרסמים המבקשים להציע את מוצריהם,  גובר הצורך להגן על הפרט מפני שיטפון פרסומי זה, שעל פי  רוב, אין הוא מעוניין בו. </w:t>
      </w:r>
    </w:p>
    <w:p w:rsidR="00000000" w:rsidRDefault="004F4901">
      <w:pPr>
        <w:jc w:val="both"/>
        <w:rPr>
          <w:rFonts w:cs="David"/>
          <w:sz w:val="26"/>
          <w:szCs w:val="26"/>
          <w:rtl/>
        </w:rPr>
      </w:pPr>
      <w:r>
        <w:rPr>
          <w:rFonts w:cs="David"/>
          <w:sz w:val="26"/>
          <w:szCs w:val="26"/>
          <w:rtl/>
        </w:rPr>
        <w:t>הצעת החוק באה לקבוע הסדר חקיקתי לטיפול בתופעה זו, ולאסור עליה בהעדר הסכמה מראש של הנמען. בכך מוצע לאמץ את מודל ה-</w:t>
      </w:r>
      <w:r>
        <w:rPr>
          <w:rFonts w:cs="David"/>
          <w:sz w:val="26"/>
          <w:szCs w:val="26"/>
        </w:rPr>
        <w:t>opt in</w:t>
      </w:r>
      <w:r>
        <w:rPr>
          <w:rFonts w:cs="David"/>
          <w:sz w:val="26"/>
          <w:szCs w:val="26"/>
          <w:rtl/>
        </w:rPr>
        <w:t xml:space="preserve"> הנהוג</w:t>
      </w:r>
      <w:r>
        <w:rPr>
          <w:rFonts w:cs="David"/>
          <w:sz w:val="26"/>
          <w:szCs w:val="26"/>
          <w:rtl/>
        </w:rPr>
        <w:t xml:space="preserve"> בענין זה באיחוד האירופי. התקשרות חד פעמית לנמען שהוא בית עסק לצורך קבלת הסכמה על המשך התקשרות,  וכן התקשרות על בסיס עסקה קודמת בין משגר ההודעה לנמען, בתנאים מסויימים, לא ייחשבו כעבירות לענין החוק המוצע.</w:t>
      </w:r>
    </w:p>
    <w:p w:rsidR="00000000" w:rsidRDefault="004F4901">
      <w:pPr>
        <w:jc w:val="both"/>
        <w:rPr>
          <w:rFonts w:cs="David"/>
          <w:sz w:val="26"/>
          <w:szCs w:val="26"/>
          <w:rtl/>
        </w:rPr>
      </w:pPr>
      <w:r>
        <w:rPr>
          <w:rFonts w:cs="David"/>
          <w:sz w:val="26"/>
          <w:szCs w:val="26"/>
          <w:rtl/>
        </w:rPr>
        <w:t>עוד מוצע כי הנמען יוכל לחזור בו בכל עת מהסכמה שניתנה</w:t>
      </w:r>
      <w:r>
        <w:rPr>
          <w:rFonts w:cs="David"/>
          <w:sz w:val="26"/>
          <w:szCs w:val="26"/>
          <w:rtl/>
        </w:rPr>
        <w:t xml:space="preserve"> באמצעות הודעת סירוב. כן נקבעו פרטים שיש לכלול באופן ברור ובולט בדבר פרסומת, עבירות פליליות על הפרת הוראות החוק, כי הפרתו תהווה גם עוולה בנזיקין וכי הוראות חוק  תובענה ייצוגית יחולו לענין תביעה בעילה לפי חוק זה.</w:t>
      </w:r>
    </w:p>
    <w:p w:rsidR="00000000" w:rsidRDefault="004F4901">
      <w:pPr>
        <w:jc w:val="both"/>
        <w:rPr>
          <w:rFonts w:cs="David"/>
          <w:sz w:val="26"/>
          <w:szCs w:val="26"/>
          <w:rtl/>
        </w:rPr>
      </w:pPr>
      <w:r>
        <w:rPr>
          <w:rFonts w:cs="David"/>
          <w:sz w:val="26"/>
          <w:szCs w:val="26"/>
          <w:rtl/>
        </w:rPr>
        <w:t xml:space="preserve"> הצעת חוק דומה בעיקרה הונחה על שולחן הכנסת ה</w:t>
      </w:r>
      <w:r>
        <w:rPr>
          <w:rFonts w:cs="David"/>
          <w:sz w:val="26"/>
          <w:szCs w:val="26"/>
          <w:rtl/>
        </w:rPr>
        <w:t>שש-עשרה על-ידי חברת הכנסת גילה פינקלשטיין (פ/3070); הצעת חוק דומה בעיקרה הונחה על שולחן הכנסת השבע-עשרה על-ידי חבר הכנסת אמנון כהן (פ/</w:t>
      </w:r>
      <w:r>
        <w:rPr>
          <w:rFonts w:cs="David"/>
          <w:b/>
          <w:bCs/>
          <w:sz w:val="26"/>
          <w:szCs w:val="26"/>
          <w:rtl/>
        </w:rPr>
        <w:t>967</w:t>
      </w:r>
      <w:r>
        <w:rPr>
          <w:rFonts w:cs="David"/>
          <w:sz w:val="26"/>
          <w:szCs w:val="26"/>
          <w:rtl/>
        </w:rPr>
        <w:t>).</w:t>
      </w:r>
    </w:p>
    <w:p w:rsidR="00000000" w:rsidRDefault="004F4901">
      <w:pPr>
        <w:jc w:val="both"/>
        <w:rPr>
          <w:rFonts w:cs="David"/>
          <w:sz w:val="26"/>
          <w:szCs w:val="26"/>
          <w:rtl/>
        </w:rPr>
      </w:pPr>
      <w:r>
        <w:rPr>
          <w:rFonts w:cs="David"/>
          <w:sz w:val="26"/>
          <w:szCs w:val="26"/>
          <w:rtl/>
        </w:rPr>
        <w:t>--------------------------</w:t>
      </w:r>
    </w:p>
    <w:p w:rsidR="00000000" w:rsidRDefault="004F4901">
      <w:pPr>
        <w:jc w:val="both"/>
        <w:rPr>
          <w:rFonts w:cs="David"/>
          <w:sz w:val="26"/>
          <w:szCs w:val="26"/>
          <w:rtl/>
        </w:rPr>
      </w:pPr>
      <w:r>
        <w:rPr>
          <w:rFonts w:cs="David"/>
          <w:sz w:val="26"/>
          <w:szCs w:val="26"/>
          <w:rtl/>
        </w:rPr>
        <w:t>הוגשה ליו"ר הכנסת והסגנים</w:t>
      </w:r>
    </w:p>
    <w:p w:rsidR="00000000" w:rsidRDefault="004F4901">
      <w:pPr>
        <w:jc w:val="both"/>
        <w:rPr>
          <w:rFonts w:cs="David"/>
          <w:sz w:val="26"/>
          <w:szCs w:val="26"/>
          <w:rtl/>
        </w:rPr>
      </w:pPr>
      <w:r>
        <w:rPr>
          <w:rFonts w:cs="David"/>
          <w:sz w:val="26"/>
          <w:szCs w:val="26"/>
          <w:rtl/>
        </w:rPr>
        <w:t>והונחה על שולחן הכנסת ביום</w:t>
      </w:r>
    </w:p>
    <w:p w:rsidR="00000000" w:rsidRDefault="004F4901">
      <w:pPr>
        <w:jc w:val="both"/>
        <w:rPr>
          <w:rFonts w:cs="David"/>
          <w:sz w:val="26"/>
          <w:szCs w:val="26"/>
          <w:rtl/>
        </w:rPr>
      </w:pPr>
      <w:r>
        <w:rPr>
          <w:rFonts w:cs="David"/>
          <w:sz w:val="26"/>
          <w:szCs w:val="26"/>
          <w:rtl/>
        </w:rPr>
        <w:t>כ"א בתמוז התשס"ו - 17.706</w:t>
      </w:r>
    </w:p>
    <w:p w:rsidR="00000000" w:rsidRDefault="004F4901">
      <w:pPr>
        <w:spacing w:line="360" w:lineRule="auto"/>
        <w:jc w:val="both"/>
        <w:rPr>
          <w:rFonts w:cs="David"/>
          <w:sz w:val="26"/>
          <w:szCs w:val="26"/>
        </w:rPr>
      </w:pPr>
      <w:r>
        <w:rPr>
          <w:rFonts w:cs="David"/>
          <w:sz w:val="26"/>
          <w:szCs w:val="26"/>
          <w:rtl/>
        </w:rPr>
        <w:t xml:space="preserve"> </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F4901">
      <w:r>
        <w:separator/>
      </w:r>
    </w:p>
  </w:endnote>
  <w:endnote w:type="continuationSeparator" w:id="0">
    <w:p w:rsidR="00000000" w:rsidRDefault="004F4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F4901">
      <w:r>
        <w:separator/>
      </w:r>
    </w:p>
  </w:footnote>
  <w:footnote w:type="continuationSeparator" w:id="0">
    <w:p w:rsidR="00000000" w:rsidRDefault="004F4901">
      <w:r>
        <w:continuationSeparator/>
      </w:r>
    </w:p>
  </w:footnote>
  <w:footnote w:id="1">
    <w:p w:rsidR="00000000" w:rsidRDefault="004F4901">
      <w:pPr>
        <w:pStyle w:val="a8"/>
      </w:pPr>
      <w:r>
        <w:rPr>
          <w:rStyle w:val="aa"/>
          <w:rFonts w:cs="David"/>
        </w:rPr>
        <w:footnoteRef/>
      </w:r>
      <w:r>
        <w:rPr>
          <w:rFonts w:cs="David"/>
          <w:rtl/>
        </w:rPr>
        <w:t xml:space="preserve"> ס"ח התשמ"ב, עמ' 218.</w:t>
      </w:r>
    </w:p>
  </w:footnote>
  <w:footnote w:id="2">
    <w:p w:rsidR="00000000" w:rsidRDefault="004F4901">
      <w:pPr>
        <w:pStyle w:val="a8"/>
      </w:pPr>
      <w:r>
        <w:rPr>
          <w:rStyle w:val="aa"/>
          <w:rFonts w:cs="David"/>
        </w:rPr>
        <w:footnoteRef/>
      </w:r>
      <w:r>
        <w:rPr>
          <w:rFonts w:cs="David"/>
        </w:rPr>
        <w:t xml:space="preserve"> </w:t>
      </w:r>
      <w:r>
        <w:rPr>
          <w:rFonts w:cs="David"/>
          <w:rtl/>
        </w:rPr>
        <w:t>ס"ח התשל"ז, עמ' 226.</w:t>
      </w:r>
    </w:p>
  </w:footnote>
  <w:footnote w:id="3">
    <w:p w:rsidR="00000000" w:rsidRDefault="004F4901">
      <w:pPr>
        <w:pStyle w:val="a8"/>
      </w:pPr>
      <w:r>
        <w:rPr>
          <w:rStyle w:val="aa"/>
          <w:rFonts w:cs="David"/>
        </w:rPr>
        <w:footnoteRef/>
      </w:r>
      <w:r>
        <w:rPr>
          <w:rFonts w:cs="David"/>
          <w:rtl/>
        </w:rPr>
        <w:t xml:space="preserve"> דיני מדינת ישראל, נוסח חדש 10, עמ' 266.</w:t>
      </w:r>
    </w:p>
  </w:footnote>
  <w:footnote w:id="4">
    <w:p w:rsidR="00000000" w:rsidRDefault="004F4901">
      <w:pPr>
        <w:pStyle w:val="a8"/>
      </w:pPr>
      <w:r>
        <w:rPr>
          <w:rStyle w:val="aa"/>
          <w:rFonts w:cs="David"/>
        </w:rPr>
        <w:footnoteRef/>
      </w:r>
      <w:r>
        <w:rPr>
          <w:rFonts w:cs="David"/>
          <w:rtl/>
        </w:rPr>
        <w:t xml:space="preserve"> ס"ח התשס"ו, עמ' 264.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4901">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4F490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353àåøìá-äñãøú äú÷ùøåú ìöåøê ôøñåîú.doc"/>
    <w:docVar w:name="StartMode" w:val="2"/>
  </w:docVars>
  <w:rsids>
    <w:rsidRoot w:val="004F4901"/>
    <w:rsid w:val="004F4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ody Text"/>
    <w:basedOn w:val="a"/>
    <w:link w:val="ac"/>
    <w:uiPriority w:val="99"/>
    <w:pPr>
      <w:spacing w:line="360" w:lineRule="auto"/>
      <w:jc w:val="both"/>
    </w:pPr>
    <w:rPr>
      <w:rFonts w:eastAsia="Times New Roman"/>
      <w:sz w:val="26"/>
      <w:szCs w:val="26"/>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969</Words>
  <Characters>4850</Characters>
  <Application>Microsoft Office Word</Application>
  <DocSecurity>0</DocSecurity>
  <Lines>40</Lines>
  <Paragraphs>11</Paragraphs>
  <ScaleCrop>false</ScaleCrop>
  <Company>knesset</Company>
  <LinksUpToDate>false</LinksUpToDate>
  <CharactersWithSpaces>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התקשורת (בזק ושידורים) (תיקון - איסור התקשרות לצורך פרסומת), התשס"ו-2006</dc:title>
  <dc:subject/>
  <dc:creator>Knesset</dc:creator>
  <cp:keywords/>
  <dc:description/>
  <cp:lastModifiedBy>שמואל כוכב</cp:lastModifiedBy>
  <cp:revision>2</cp:revision>
  <dcterms:created xsi:type="dcterms:W3CDTF">2015-02-03T16:40:00Z</dcterms:created>
  <dcterms:modified xsi:type="dcterms:W3CDTF">2015-02-03T16:40:00Z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03923106</vt:lpwstr>
  </property>
  <property fmtid="{D5CDD505-2E9C-101B-9397-08002B2CF9AE}" pid="10" name="מספר הצעת חוק למיון">
    <vt:lpwstr>1143</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פ/1143/17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