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01DEB">
      <w:pPr>
        <w:pStyle w:val="a3"/>
        <w:bidi w:val="0"/>
        <w:spacing w:line="360" w:lineRule="auto"/>
        <w:rPr>
          <w:rFonts w:cs="David"/>
          <w:b w:val="0"/>
          <w:bCs w:val="0"/>
          <w:sz w:val="26"/>
          <w:szCs w:val="26"/>
          <w:u w:val="none"/>
          <w:rtl/>
        </w:rPr>
      </w:pPr>
      <w:bookmarkStart w:id="0" w:name="_GoBack"/>
      <w:bookmarkEnd w:id="0"/>
      <w:r>
        <w:rPr>
          <w:rFonts w:cs="David"/>
          <w:u w:val="none"/>
          <w:rtl/>
        </w:rPr>
        <w:t>הכנסת השבע-עשרה</w:t>
      </w:r>
    </w:p>
    <w:p w:rsidR="00000000" w:rsidRDefault="00301DEB">
      <w:pPr>
        <w:spacing w:line="360" w:lineRule="auto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Ind w:w="4529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399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01DEB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הצעת</w:t>
            </w:r>
            <w:r>
              <w:rPr>
                <w:rFonts w:cs="David"/>
                <w:sz w:val="26"/>
                <w:szCs w:val="26"/>
              </w:rPr>
              <w:t xml:space="preserve"> </w:t>
            </w:r>
            <w:r>
              <w:rPr>
                <w:rFonts w:cs="David"/>
                <w:sz w:val="26"/>
                <w:szCs w:val="26"/>
                <w:rtl/>
              </w:rPr>
              <w:t xml:space="preserve">חוק של חבר הכנסת </w:t>
            </w:r>
            <w:r>
              <w:rPr>
                <w:rFonts w:cs="David"/>
                <w:b/>
                <w:bCs/>
                <w:sz w:val="26"/>
                <w:szCs w:val="26"/>
                <w:rtl/>
              </w:rPr>
              <w:t>אחמד טיבי</w:t>
            </w:r>
            <w:r>
              <w:rPr>
                <w:rFonts w:cs="David"/>
                <w:sz w:val="26"/>
                <w:szCs w:val="26"/>
                <w:rtl/>
              </w:rPr>
              <w:t xml:space="preserve"> </w:t>
            </w:r>
          </w:p>
        </w:tc>
      </w:tr>
    </w:tbl>
    <w:p w:rsidR="00000000" w:rsidRDefault="00301DEB">
      <w:pPr>
        <w:spacing w:line="360" w:lineRule="auto"/>
        <w:rPr>
          <w:rFonts w:cs="David"/>
          <w:b/>
          <w:bCs/>
          <w:rtl/>
        </w:rPr>
      </w:pPr>
      <w:r>
        <w:rPr>
          <w:rFonts w:cs="David"/>
          <w:sz w:val="26"/>
          <w:szCs w:val="26"/>
          <w:rtl/>
        </w:rPr>
        <w:t xml:space="preserve">                                                                                                            </w:t>
      </w:r>
      <w:r>
        <w:rPr>
          <w:rFonts w:cs="David"/>
          <w:b/>
          <w:bCs/>
          <w:rtl/>
        </w:rPr>
        <w:t>פ/1191/17</w:t>
      </w:r>
    </w:p>
    <w:p w:rsidR="00000000" w:rsidRDefault="00301DEB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301DEB">
      <w:pPr>
        <w:pStyle w:val="1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u w:val="none"/>
          <w:rtl/>
        </w:rPr>
        <w:t>הצעת חוק לתיקון פקודת בריאות העם (הגבלת תקופת כהונה של מנהלי מחלקות בבתי חולים ציבוריים), התשס"ו-2006</w:t>
      </w:r>
    </w:p>
    <w:p w:rsidR="00000000" w:rsidRDefault="00301DEB">
      <w:pPr>
        <w:spacing w:line="360" w:lineRule="auto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Ind w:w="100" w:type="dxa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841"/>
        <w:gridCol w:w="819"/>
        <w:gridCol w:w="765"/>
        <w:gridCol w:w="395"/>
        <w:gridCol w:w="395"/>
        <w:gridCol w:w="5105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48"/>
        </w:trPr>
        <w:tc>
          <w:tcPr>
            <w:tcW w:w="84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הוספת סעיף 28 א </w:t>
            </w:r>
          </w:p>
          <w:p w:rsidR="00000000" w:rsidRDefault="00301DEB">
            <w:pPr>
              <w:spacing w:after="120"/>
              <w:rPr>
                <w:rFonts w:cs="David"/>
                <w:sz w:val="26"/>
                <w:szCs w:val="26"/>
              </w:rPr>
            </w:pPr>
          </w:p>
          <w:p w:rsidR="00000000" w:rsidRDefault="00301DEB">
            <w:pPr>
              <w:spacing w:after="12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66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בפקודת בריאו</w:t>
            </w:r>
            <w:r>
              <w:rPr>
                <w:rFonts w:cs="David"/>
                <w:sz w:val="26"/>
                <w:szCs w:val="26"/>
                <w:rtl/>
              </w:rPr>
              <w:t>ת העם</w:t>
            </w:r>
            <w:r>
              <w:rPr>
                <w:rStyle w:val="aa"/>
                <w:rFonts w:cs="David"/>
                <w:sz w:val="26"/>
                <w:szCs w:val="26"/>
                <w:rtl/>
              </w:rPr>
              <w:footnoteReference w:id="1"/>
            </w:r>
            <w:r>
              <w:rPr>
                <w:rFonts w:cs="David"/>
                <w:sz w:val="26"/>
                <w:szCs w:val="26"/>
                <w:rtl/>
              </w:rPr>
              <w:t xml:space="preserve">, אחרי סעיף 28 יבוא :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70"/>
        </w:trPr>
        <w:tc>
          <w:tcPr>
            <w:tcW w:w="84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81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"כהונת מנהל מחלקה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28 א.</w:t>
            </w:r>
          </w:p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(א)</w:t>
            </w:r>
          </w:p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 בסעיף זה – </w:t>
            </w:r>
          </w:p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"בית חולים ציבורי"- בית חולים רשום שהוא אחד מאלה: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75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81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(1)</w:t>
            </w:r>
          </w:p>
        </w:tc>
        <w:tc>
          <w:tcPr>
            <w:tcW w:w="510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בית חולים ממשלתי;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656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81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(2)</w:t>
            </w:r>
          </w:p>
        </w:tc>
        <w:tc>
          <w:tcPr>
            <w:tcW w:w="510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בית חולים שנמצא בבעלות או בשליטה ישירה של הממשלה או </w:t>
            </w:r>
            <w:r>
              <w:rPr>
                <w:rFonts w:cs="David"/>
                <w:sz w:val="26"/>
                <w:szCs w:val="26"/>
                <w:rtl/>
              </w:rPr>
              <w:t>של רשות מקומית, לרבות חברה בת ממשלתית וחברה מעורבת כמשמעותן בחוק החברות הממשלתיות התשל"ה-1975</w:t>
            </w:r>
            <w:r>
              <w:rPr>
                <w:rStyle w:val="aa"/>
                <w:rFonts w:cs="David"/>
                <w:sz w:val="26"/>
                <w:szCs w:val="26"/>
                <w:rtl/>
              </w:rPr>
              <w:footnoteReference w:id="2"/>
            </w:r>
            <w:r>
              <w:rPr>
                <w:rFonts w:cs="David"/>
                <w:sz w:val="26"/>
                <w:szCs w:val="26"/>
                <w:rtl/>
              </w:rPr>
              <w:t xml:space="preserve">, וכן כל גוף מתוקצב, במישרין או בעקיפין, מתקציב המדינה.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2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(3)</w:t>
            </w:r>
          </w:p>
        </w:tc>
        <w:tc>
          <w:tcPr>
            <w:tcW w:w="510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מוסד ללא כוונת רווח כהגדרתו בסעיף 1 לחוק מס ערך מוסף, התשל"ו- 1975</w:t>
            </w:r>
            <w:r>
              <w:rPr>
                <w:rStyle w:val="aa"/>
                <w:rFonts w:cs="David"/>
                <w:sz w:val="26"/>
                <w:szCs w:val="26"/>
                <w:rtl/>
              </w:rPr>
              <w:footnoteReference w:id="3"/>
            </w:r>
            <w:r>
              <w:rPr>
                <w:rFonts w:cs="David"/>
                <w:sz w:val="26"/>
                <w:szCs w:val="26"/>
                <w:rtl/>
              </w:rPr>
              <w:t>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98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(4)</w:t>
            </w:r>
          </w:p>
        </w:tc>
        <w:tc>
          <w:tcPr>
            <w:tcW w:w="510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סוגי בתי חולים אחרים שהשר קבע בצו באישור ועדת העבודה הרווחה והבריאות של הכנסת.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99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"מחלקה"- מסגרת רפואית אשר הוכרה על ידי המנהל כמחלקה ברישיון בית החולים.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70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(ב)</w:t>
            </w:r>
          </w:p>
        </w:tc>
        <w:tc>
          <w:tcPr>
            <w:tcW w:w="5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תקופת כהונה של רופא המנהל מחלקה בבית חולים ציבורי (בסעיף זה- מנ</w:t>
            </w:r>
            <w:r>
              <w:rPr>
                <w:rFonts w:cs="David"/>
                <w:sz w:val="26"/>
                <w:szCs w:val="26"/>
                <w:rtl/>
              </w:rPr>
              <w:t xml:space="preserve">הל מחלקה), לא תעלה על שבע שנים; מינוי מנהל מחלקה יהיה לתקופת כהונה אחת.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70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(ג)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(1)</w:t>
            </w:r>
          </w:p>
        </w:tc>
        <w:tc>
          <w:tcPr>
            <w:tcW w:w="510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תקופת כהונה של מנהל מחלקה ניתנת להארכה לתקופת כהונה נוספת אחת של שלוש שנים (בסעיף זה- הארכת התקופה);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70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(2)</w:t>
            </w:r>
          </w:p>
        </w:tc>
        <w:tc>
          <w:tcPr>
            <w:tcW w:w="510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הוארכה תקופת הכהונה כאמור בפסקה (1) בידי הגוף הבוחר מנהלי מחל</w:t>
            </w:r>
            <w:r>
              <w:rPr>
                <w:rFonts w:cs="David"/>
                <w:sz w:val="26"/>
                <w:szCs w:val="26"/>
                <w:rtl/>
              </w:rPr>
              <w:t xml:space="preserve">קות באותו בית החולים שלא בדרך של מכרז, ולא נמנה בין חברי הגוף כאמור נציג ההנהלה של בית החולים או מי מטעמו- ימנה הגוף הבוחר, לעניין הוראות פסקה זו, גם נציג של הנהלת בית החולים, היו הדעות בגוף הבוחר כמשמעותו בפסקה זו שקולות - תהיה ליושב ראש הועדה דעה מכרעת.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70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(3)</w:t>
            </w:r>
          </w:p>
        </w:tc>
        <w:tc>
          <w:tcPr>
            <w:tcW w:w="510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הארכת התקופה לפי פסקה (1) תחול על מנהל מחלקה באותה המחלקה שבה הוא מכהן ; לענין פסקה זו וסעיף קטן (ד) "אותה מחלקה" – לרבות מחלקה אחרת באותן תחום מומחיות ובאותו בית חולים.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70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(ד)</w:t>
            </w:r>
          </w:p>
        </w:tc>
        <w:tc>
          <w:tcPr>
            <w:tcW w:w="5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מנהל מחלקה שנבחר לתפקיד במכרז פומבי לאחר שכיהן כמנהל באותה המחלקה ש</w:t>
            </w:r>
            <w:r>
              <w:rPr>
                <w:rFonts w:cs="David"/>
                <w:sz w:val="26"/>
                <w:szCs w:val="26"/>
                <w:rtl/>
              </w:rPr>
              <w:t>תי תקופות כהונה - לא יחולו לגביו הוראות בדבר הגבלת התקופות כאמור בסעיפים קטנים (ב) ו- (ג)(1).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70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(ה) </w:t>
            </w:r>
          </w:p>
        </w:tc>
        <w:tc>
          <w:tcPr>
            <w:tcW w:w="5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התקופות המנויות בסעיפים קטנים (ג)(1) ו-(ד) יכול שיהיו בסמוך או שלא בסמוך, לאחר תום תקופת הכהונה הקודמת.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70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(ו) </w:t>
            </w:r>
          </w:p>
        </w:tc>
        <w:tc>
          <w:tcPr>
            <w:tcW w:w="5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שר הבריאות רשאי לקבוע בצו, כי בית חולים</w:t>
            </w:r>
            <w:r>
              <w:rPr>
                <w:rFonts w:cs="David"/>
                <w:sz w:val="26"/>
                <w:szCs w:val="26"/>
                <w:rtl/>
              </w:rPr>
              <w:t xml:space="preserve"> ציבורי מסוים אשר אין בו חדר מיון, לא ייחשב כבית חולים ציבורי, לעניין סעיף זה.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70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תחילה תחולה והוראה מיוחדת 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2.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(א)</w:t>
            </w:r>
          </w:p>
        </w:tc>
        <w:tc>
          <w:tcPr>
            <w:tcW w:w="58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חוק זה יכנס לתוקפו במועד כאמור בפסקאות (1) או (2), המוקדם מביניהם (בסעיף זה - יום התחילה) 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70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(1)</w:t>
            </w:r>
          </w:p>
        </w:tc>
        <w:tc>
          <w:tcPr>
            <w:tcW w:w="5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 ביום שיקבע השר ברשומות; השר יקבע את המו</w:t>
            </w:r>
            <w:r>
              <w:rPr>
                <w:rFonts w:cs="David"/>
                <w:sz w:val="26"/>
                <w:szCs w:val="26"/>
                <w:rtl/>
              </w:rPr>
              <w:t xml:space="preserve">עד לאחר שהתקיימו שני אלה ובלבד שהמועד לא יהיה מאוחר מתום ששה חודשים ממועד קיום התנאי האמור בפסקה (ב):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70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(א)</w:t>
            </w:r>
          </w:p>
        </w:tc>
        <w:tc>
          <w:tcPr>
            <w:tcW w:w="510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נחתם באישור שר האוצר הסכם קיבוצי כמשמעותו בסעיף 1 לחוק הסכמים קיבוציים, התשי"ז- 1957</w:t>
            </w:r>
            <w:r>
              <w:rPr>
                <w:rStyle w:val="aa"/>
                <w:rFonts w:cs="David"/>
                <w:sz w:val="26"/>
                <w:szCs w:val="26"/>
                <w:rtl/>
              </w:rPr>
              <w:footnoteReference w:id="4"/>
            </w:r>
            <w:r>
              <w:rPr>
                <w:rFonts w:cs="David"/>
                <w:sz w:val="26"/>
                <w:szCs w:val="26"/>
                <w:rtl/>
              </w:rPr>
              <w:t>, בדבר זכויותיהם ושכרם של מי שחדלו לכהן כ</w:t>
            </w:r>
            <w:r>
              <w:rPr>
                <w:rFonts w:cs="David"/>
                <w:sz w:val="26"/>
                <w:szCs w:val="26"/>
                <w:rtl/>
              </w:rPr>
              <w:t xml:space="preserve">מנהלי מחלקות ;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70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(ב) </w:t>
            </w:r>
          </w:p>
        </w:tc>
        <w:tc>
          <w:tcPr>
            <w:tcW w:w="510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ההסכם הקיבוצי האמור בפסקה (א) נרשם לפי החוק האמור;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75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(2)</w:t>
            </w:r>
          </w:p>
        </w:tc>
        <w:tc>
          <w:tcPr>
            <w:tcW w:w="5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בתום שנתיים מיום פרסומו של חוק זה.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70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(ב) </w:t>
            </w:r>
          </w:p>
        </w:tc>
        <w:tc>
          <w:tcPr>
            <w:tcW w:w="58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לא נרשם הסכם קיבוצי עד תום שנתיים מיום פרסומו של חוק זה- יכהן מי שחדל להיות מנהל מחלקה בתום תקופה של עשר שנים, כאמור בסעיף 28</w:t>
            </w:r>
            <w:r>
              <w:rPr>
                <w:rFonts w:cs="David"/>
                <w:sz w:val="26"/>
                <w:szCs w:val="26"/>
                <w:rtl/>
              </w:rPr>
              <w:t xml:space="preserve">א (ב) ו- (ג) לפקודת בריאות העם כנוסחו בסעיף 1 לחוק זה, כמנהל יחידה במינוי אישי 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70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(ג)</w:t>
            </w:r>
          </w:p>
        </w:tc>
        <w:tc>
          <w:tcPr>
            <w:tcW w:w="58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301DEB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חוק זה יחול על מי שמונה כמנהל מחלקה ביום התחילה ולאחריו . </w:t>
            </w:r>
          </w:p>
        </w:tc>
      </w:tr>
    </w:tbl>
    <w:p w:rsidR="00000000" w:rsidRDefault="00301DEB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301DEB">
      <w:pPr>
        <w:pStyle w:val="1"/>
        <w:spacing w:line="360" w:lineRule="auto"/>
        <w:rPr>
          <w:rFonts w:cs="David"/>
          <w:b w:val="0"/>
          <w:bCs w:val="0"/>
          <w:sz w:val="26"/>
          <w:szCs w:val="26"/>
          <w:rtl/>
        </w:rPr>
      </w:pPr>
      <w:r>
        <w:rPr>
          <w:rFonts w:cs="David"/>
          <w:rtl/>
        </w:rPr>
        <w:t>דברי הסבר</w:t>
      </w:r>
    </w:p>
    <w:p w:rsidR="00000000" w:rsidRDefault="00301DEB">
      <w:pPr>
        <w:spacing w:after="120"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301DEB">
      <w:pPr>
        <w:spacing w:after="120"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כיום, תקופת כהונתו של רופא מורשה המנהל מחלקה בבית חולים ציבורי היא בלתי מוגבלת, דבר אשר פוגם בי</w:t>
      </w:r>
      <w:r>
        <w:rPr>
          <w:rFonts w:cs="David"/>
          <w:sz w:val="26"/>
          <w:szCs w:val="26"/>
          <w:rtl/>
        </w:rPr>
        <w:t xml:space="preserve">עילות ובהתחדשות המערכת הרפואית בישראל, וגם מונע אפשרות של קליטת רופאים טובים שיש בידם לתרום למערכת. </w:t>
      </w:r>
    </w:p>
    <w:p w:rsidR="00000000" w:rsidRDefault="00301DEB">
      <w:pPr>
        <w:spacing w:after="120"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 xml:space="preserve">מוצע לקבוע תקופת כהונה מוגבלת כדי לייעל ולהזרים דם חדש למערכת כך שתקופת כהונתו של רופא המנהל מחלקה בבית חולים ציבורי תהיה 10 שנים לכל היותר. </w:t>
      </w:r>
    </w:p>
    <w:p w:rsidR="00000000" w:rsidRDefault="00301DEB">
      <w:pPr>
        <w:spacing w:after="120"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 xml:space="preserve">להצעת חוק זו </w:t>
      </w:r>
      <w:r>
        <w:rPr>
          <w:rFonts w:cs="David"/>
          <w:sz w:val="26"/>
          <w:szCs w:val="26"/>
          <w:rtl/>
        </w:rPr>
        <w:t xml:space="preserve">לא צפויות עלויות. </w:t>
      </w:r>
    </w:p>
    <w:p w:rsidR="00000000" w:rsidRDefault="00301DEB">
      <w:pPr>
        <w:spacing w:after="120"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 xml:space="preserve">הצעת חוק זה הונחה על שולחן הכנסת החמש עשרה  על ידי חבר הכנסת  אחמד טיבי וקבוצת חברי הכנסת ואושרה בקריאה ראשונה ביום 20.11.2000. </w:t>
      </w:r>
    </w:p>
    <w:p w:rsidR="00000000" w:rsidRDefault="00301DEB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---------------------------------</w:t>
      </w:r>
    </w:p>
    <w:p w:rsidR="00000000" w:rsidRDefault="00301DEB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הוגשה ליו"ר הכנסת והסגנים</w:t>
      </w:r>
    </w:p>
    <w:p w:rsidR="00000000" w:rsidRDefault="00301DEB">
      <w:pPr>
        <w:pStyle w:val="a3"/>
        <w:spacing w:line="360" w:lineRule="auto"/>
        <w:jc w:val="left"/>
        <w:rPr>
          <w:rFonts w:cs="David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והונחה על שולחן הכנסת ביום</w:t>
      </w:r>
    </w:p>
    <w:p w:rsidR="00000000" w:rsidRDefault="00301DEB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כ"א בתמוז התשס"ו – 17</w:t>
      </w:r>
      <w:r>
        <w:rPr>
          <w:rFonts w:cs="David"/>
          <w:b w:val="0"/>
          <w:bCs w:val="0"/>
          <w:sz w:val="26"/>
          <w:szCs w:val="26"/>
          <w:u w:val="none"/>
          <w:rtl/>
        </w:rPr>
        <w:t>.7.06</w:t>
      </w: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01DEB">
      <w:r>
        <w:separator/>
      </w:r>
    </w:p>
  </w:endnote>
  <w:endnote w:type="continuationSeparator" w:id="0">
    <w:p w:rsidR="00000000" w:rsidRDefault="00301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01DEB">
      <w:r>
        <w:separator/>
      </w:r>
    </w:p>
  </w:footnote>
  <w:footnote w:type="continuationSeparator" w:id="0">
    <w:p w:rsidR="00000000" w:rsidRDefault="00301DEB">
      <w:r>
        <w:continuationSeparator/>
      </w:r>
    </w:p>
  </w:footnote>
  <w:footnote w:id="1">
    <w:p w:rsidR="00000000" w:rsidRDefault="00301DEB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  <w:rtl/>
        </w:rPr>
        <w:t xml:space="preserve"> ע"ר 1065, תוס' 1, עמ' (ע) 191, (א) 239. </w:t>
      </w:r>
    </w:p>
  </w:footnote>
  <w:footnote w:id="2">
    <w:p w:rsidR="00000000" w:rsidRDefault="00301DEB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  <w:rtl/>
        </w:rPr>
        <w:t xml:space="preserve"> ס"ח התשל"ה- עמ' 132. </w:t>
      </w:r>
    </w:p>
  </w:footnote>
  <w:footnote w:id="3">
    <w:p w:rsidR="00000000" w:rsidRDefault="00301DEB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  <w:rtl/>
        </w:rPr>
        <w:t xml:space="preserve"> ס"ח</w:t>
      </w:r>
      <w:r>
        <w:rPr>
          <w:rFonts w:cs="David"/>
          <w:rtl/>
        </w:rPr>
        <w:t xml:space="preserve"> התשל"ו, עמ' 52.</w:t>
      </w:r>
      <w:r>
        <w:rPr>
          <w:rtl/>
        </w:rPr>
        <w:t xml:space="preserve"> </w:t>
      </w:r>
    </w:p>
  </w:footnote>
  <w:footnote w:id="4">
    <w:p w:rsidR="00000000" w:rsidRDefault="00301DEB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  <w:rtl/>
        </w:rPr>
        <w:t xml:space="preserve"> ס"ח התשי"ז 63.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301DEB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3</w:t>
    </w:r>
    <w:r>
      <w:rPr>
        <w:rStyle w:val="a7"/>
      </w:rPr>
      <w:fldChar w:fldCharType="end"/>
    </w:r>
  </w:p>
  <w:p w:rsidR="00000000" w:rsidRDefault="00301DEB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37767àçîã èéáé - äöòú çå÷ ìúé÷åï ô÷åãú áøéàåú äòí (äâáìú ú÷åôú ëäåðä ùì îðäìé îçì÷åú ááúé çåìéí öéáåøééí), äúùñå-2006.doc"/>
    <w:docVar w:name="StartMode" w:val="2"/>
  </w:docVars>
  <w:rsids>
    <w:rsidRoot w:val="00301DEB"/>
    <w:rsid w:val="00301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rFonts w:eastAsia="Times New Roman"/>
      <w:b/>
      <w:bCs/>
      <w:sz w:val="28"/>
      <w:szCs w:val="28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footnote text"/>
    <w:basedOn w:val="a"/>
    <w:link w:val="a9"/>
    <w:uiPriority w:val="99"/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a">
    <w:name w:val="footnote reference"/>
    <w:basedOn w:val="a0"/>
    <w:uiPriority w:val="99"/>
    <w:rPr>
      <w:rFonts w:cs="Times New Roman"/>
      <w:vertAlign w:val="superscript"/>
    </w:rPr>
  </w:style>
  <w:style w:type="paragraph" w:styleId="ab">
    <w:name w:val="Balloon Text"/>
    <w:basedOn w:val="a"/>
    <w:link w:val="ac"/>
    <w:uiPriority w:val="99"/>
    <w:rPr>
      <w:rFonts w:ascii="Tahoma" w:eastAsia="Times New Roman" w:hAnsi="Tahoma"/>
      <w:sz w:val="16"/>
      <w:szCs w:val="16"/>
    </w:rPr>
  </w:style>
  <w:style w:type="character" w:customStyle="1" w:styleId="ac">
    <w:name w:val="טקסט בלונים תו"/>
    <w:basedOn w:val="a0"/>
    <w:link w:val="ab"/>
    <w:uiPriority w:val="99"/>
    <w:semiHidden/>
    <w:rPr>
      <w:rFonts w:ascii="Tahoma" w:hAnsi="Tahoma" w:cs="Tahoma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588</Words>
  <Characters>2945</Characters>
  <Application>Microsoft Office Word</Application>
  <DocSecurity>0</DocSecurity>
  <Lines>24</Lines>
  <Paragraphs>7</Paragraphs>
  <ScaleCrop>false</ScaleCrop>
  <Company>knesset</Company>
  <LinksUpToDate>false</LinksUpToDate>
  <CharactersWithSpaces>3526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לתיקון פקודת בריאות העם (הגבלת תקופת כהונה של מנהלי מחלקות בבתי חולים ציבוריים), התשס"ו-2006</dc:title>
  <dc:subject/>
  <dc:creator>Knesset</dc:creator>
  <cp:keywords/>
  <dc:description/>
  <cp:lastModifiedBy>שמואל כוכב</cp:lastModifiedBy>
  <cp:revision>2</cp:revision>
  <cp:lastPrinted>2006-07-13T16:22:00Z</cp:lastPrinted>
  <dcterms:created xsi:type="dcterms:W3CDTF">2015-02-03T16:42:00Z</dcterms:created>
  <dcterms:modified xsi:type="dcterms:W3CDTF">2015-02-03T16:42:00Z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129</vt:i4>
  </property>
  <property fmtid="{D5CDD505-2E9C-101B-9397-08002B2CF9AE}" pid="3" name="Nose">
    <vt:lpwstr>':הלשכה המשפטית:חקיקה - נוסח:1.טיוטה לטרומית'_x000d__x000d_</vt:lpwstr>
  </property>
  <property fmtid="{D5CDD505-2E9C-101B-9397-08002B2CF9AE}" pid="4" name="Tizkoret">
    <vt:lpwstr/>
  </property>
  <property fmtid="{D5CDD505-2E9C-101B-9397-08002B2CF9AE}" pid="5" name="YozemHatzaa_ChakList">
    <vt:lpwstr>אחמד טיבי</vt:lpwstr>
  </property>
  <property fmtid="{D5CDD505-2E9C-101B-9397-08002B2CF9AE}" pid="6" name="סימוכין">
    <vt:i4>4583105</vt:i4>
  </property>
  <property fmtid="{D5CDD505-2E9C-101B-9397-08002B2CF9AE}" pid="7" name="תאריך המסמך">
    <vt:filetime>2005-03-03T22:00:00Z</vt:filetime>
  </property>
  <property fmtid="{D5CDD505-2E9C-101B-9397-08002B2CF9AE}" pid="8" name="CodeProfile">
    <vt:lpwstr>85</vt:lpwstr>
  </property>
  <property fmtid="{D5CDD505-2E9C-101B-9397-08002B2CF9AE}" pid="9" name="AutoNumber">
    <vt:lpwstr>03936206</vt:lpwstr>
  </property>
  <property fmtid="{D5CDD505-2E9C-101B-9397-08002B2CF9AE}" pid="10" name="מספר הצעת חוק למיון">
    <vt:lpwstr>1191</vt:lpwstr>
  </property>
  <property fmtid="{D5CDD505-2E9C-101B-9397-08002B2CF9AE}" pid="11" name="SDDocDate">
    <vt:lpwstr>2006-07-13T00:00:00Z</vt:lpwstr>
  </property>
  <property fmtid="{D5CDD505-2E9C-101B-9397-08002B2CF9AE}" pid="12" name="SDHebDate">
    <vt:lpwstr>י"ז בתמוז, התשס"ו</vt:lpwstr>
  </property>
  <property fmtid="{D5CDD505-2E9C-101B-9397-08002B2CF9AE}" pid="13" name="SDCategories">
    <vt:lpwstr>:דף הבית:נושאים:חקיקה:נוסח לדיון מוקדם;#:הלשכה המשפטית:הצעות חוק - כנסת 17;#</vt:lpwstr>
  </property>
  <property fmtid="{D5CDD505-2E9C-101B-9397-08002B2CF9AE}" pid="14" name="תאריך הנחה">
    <vt:lpwstr/>
  </property>
  <property fmtid="{D5CDD505-2E9C-101B-9397-08002B2CF9AE}" pid="15" name="HebrewDate">
    <vt:lpwstr/>
  </property>
  <property fmtid="{D5CDD505-2E9C-101B-9397-08002B2CF9AE}" pid="16" name="SDAuthor">
    <vt:lpwstr>כוכי שבתאי</vt:lpwstr>
  </property>
  <property fmtid="{D5CDD505-2E9C-101B-9397-08002B2CF9AE}" pid="17" name="MechaberMismach">
    <vt:lpwstr/>
  </property>
  <property fmtid="{D5CDD505-2E9C-101B-9397-08002B2CF9AE}" pid="18" name="MisHatzaatChok">
    <vt:lpwstr>פ/1191/17</vt:lpwstr>
  </property>
  <property fmtid="{D5CDD505-2E9C-101B-9397-08002B2CF9AE}" pid="19" name="SDRemark">
    <vt:lpwstr/>
  </property>
  <property fmtid="{D5CDD505-2E9C-101B-9397-08002B2CF9AE}" pid="20" name="SDOfflineTo">
    <vt:lpwstr/>
  </property>
  <property fmtid="{D5CDD505-2E9C-101B-9397-08002B2CF9AE}" pid="21" name="SDDistList">
    <vt:lpwstr/>
  </property>
  <property fmtid="{D5CDD505-2E9C-101B-9397-08002B2CF9AE}" pid="22" name="SDDistDate">
    <vt:lpwstr/>
  </property>
  <property fmtid="{D5CDD505-2E9C-101B-9397-08002B2CF9AE}" pid="23" name="SDOriginalID">
    <vt:lpwstr/>
  </property>
  <property fmtid="{D5CDD505-2E9C-101B-9397-08002B2CF9AE}" pid="24" name="SDSenderName">
    <vt:lpwstr/>
  </property>
  <property fmtid="{D5CDD505-2E9C-101B-9397-08002B2CF9AE}" pid="25" name="SDToList">
    <vt:lpwstr/>
  </property>
  <property fmtid="{D5CDD505-2E9C-101B-9397-08002B2CF9AE}" pid="26" name="SDCCList">
    <vt:lpwstr/>
  </property>
  <property fmtid="{D5CDD505-2E9C-101B-9397-08002B2CF9AE}" pid="27" name="STHasReminders">
    <vt:lpwstr>0</vt:lpwstr>
  </property>
  <property fmtid="{D5CDD505-2E9C-101B-9397-08002B2CF9AE}" pid="28" name="SDLink">
    <vt:lpwstr>, </vt:lpwstr>
  </property>
  <property fmtid="{D5CDD505-2E9C-101B-9397-08002B2CF9AE}" pid="29" name="Num_Gim1">
    <vt:lpwstr/>
  </property>
  <property fmtid="{D5CDD505-2E9C-101B-9397-08002B2CF9AE}" pid="30" name="NoseA">
    <vt:lpwstr/>
  </property>
  <property fmtid="{D5CDD505-2E9C-101B-9397-08002B2CF9AE}" pid="31" name="NoseB">
    <vt:lpwstr/>
  </property>
  <property fmtid="{D5CDD505-2E9C-101B-9397-08002B2CF9AE}" pid="32" name="knesset_number">
    <vt:lpwstr/>
  </property>
  <property fmtid="{D5CDD505-2E9C-101B-9397-08002B2CF9AE}" pid="33" name="ValidFrom">
    <vt:lpwstr/>
  </property>
  <property fmtid="{D5CDD505-2E9C-101B-9397-08002B2CF9AE}" pid="34" name="ValidUntill">
    <vt:lpwstr/>
  </property>
  <property fmtid="{D5CDD505-2E9C-101B-9397-08002B2CF9AE}" pid="35" name="To1">
    <vt:lpwstr/>
  </property>
  <property fmtid="{D5CDD505-2E9C-101B-9397-08002B2CF9AE}" pid="36" name="From">
    <vt:lpwstr/>
  </property>
  <property fmtid="{D5CDD505-2E9C-101B-9397-08002B2CF9AE}" pid="37" name="body">
    <vt:lpwstr/>
  </property>
</Properties>
</file>