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728EB">
      <w:pPr>
        <w:pStyle w:val="a3"/>
        <w:spacing w:line="360" w:lineRule="auto"/>
        <w:rPr>
          <w:rFonts w:cs="David"/>
          <w:b w:val="0"/>
          <w:bCs w:val="0"/>
          <w:sz w:val="26"/>
          <w:szCs w:val="26"/>
          <w:u w:val="none"/>
          <w:rtl/>
        </w:rPr>
      </w:pPr>
      <w:bookmarkStart w:id="0" w:name="_GoBack"/>
      <w:bookmarkEnd w:id="0"/>
      <w:r>
        <w:rPr>
          <w:rFonts w:cs="David"/>
          <w:u w:val="none"/>
          <w:rtl/>
        </w:rPr>
        <w:t>הכנסת השבע-עשרה</w:t>
      </w:r>
    </w:p>
    <w:p w:rsidR="00000000" w:rsidRDefault="00B728EB">
      <w:pPr>
        <w:spacing w:line="360" w:lineRule="auto"/>
        <w:rPr>
          <w:rFonts w:cs="David"/>
          <w:sz w:val="26"/>
          <w:szCs w:val="26"/>
          <w:rtl/>
        </w:rPr>
      </w:pPr>
    </w:p>
    <w:tbl>
      <w:tblPr>
        <w:bidiVisual/>
        <w:tblW w:w="0" w:type="auto"/>
        <w:tblInd w:w="4485" w:type="dxa"/>
        <w:tblBorders>
          <w:bottom w:val="single" w:sz="4" w:space="0" w:color="auto"/>
        </w:tblBorders>
        <w:tblLook w:val="0000" w:firstRow="0" w:lastRow="0" w:firstColumn="0" w:lastColumn="0" w:noHBand="0" w:noVBand="0"/>
      </w:tblPr>
      <w:tblGrid>
        <w:gridCol w:w="4037"/>
      </w:tblGrid>
      <w:tr w:rsidR="00000000">
        <w:tblPrEx>
          <w:tblCellMar>
            <w:top w:w="0" w:type="dxa"/>
            <w:bottom w:w="0" w:type="dxa"/>
          </w:tblCellMar>
        </w:tblPrEx>
        <w:tc>
          <w:tcPr>
            <w:tcW w:w="4037" w:type="dxa"/>
            <w:tcBorders>
              <w:top w:val="nil"/>
              <w:left w:val="nil"/>
              <w:bottom w:val="single" w:sz="4" w:space="0" w:color="auto"/>
              <w:right w:val="nil"/>
            </w:tcBorders>
          </w:tcPr>
          <w:p w:rsidR="00000000" w:rsidRDefault="00B728EB">
            <w:pPr>
              <w:spacing w:after="120" w:line="360" w:lineRule="auto"/>
              <w:rPr>
                <w:rFonts w:cs="David"/>
                <w:sz w:val="26"/>
                <w:szCs w:val="26"/>
              </w:rPr>
            </w:pPr>
            <w:r>
              <w:rPr>
                <w:rFonts w:cs="David"/>
                <w:sz w:val="26"/>
                <w:szCs w:val="26"/>
                <w:rtl/>
              </w:rPr>
              <w:t>הצעת</w:t>
            </w:r>
            <w:r>
              <w:rPr>
                <w:rFonts w:cs="David"/>
                <w:sz w:val="26"/>
                <w:szCs w:val="26"/>
              </w:rPr>
              <w:t xml:space="preserve"> </w:t>
            </w:r>
            <w:r>
              <w:rPr>
                <w:rFonts w:cs="David"/>
                <w:sz w:val="26"/>
                <w:szCs w:val="26"/>
                <w:rtl/>
              </w:rPr>
              <w:t xml:space="preserve">חוק של חבר הכנסת </w:t>
            </w:r>
            <w:r>
              <w:rPr>
                <w:rFonts w:cs="David"/>
                <w:b/>
                <w:bCs/>
                <w:sz w:val="26"/>
                <w:szCs w:val="26"/>
                <w:rtl/>
              </w:rPr>
              <w:t>זבולון אורלב</w:t>
            </w:r>
          </w:p>
        </w:tc>
      </w:tr>
    </w:tbl>
    <w:p w:rsidR="00000000" w:rsidRDefault="00B728EB">
      <w:pPr>
        <w:spacing w:line="360" w:lineRule="auto"/>
        <w:jc w:val="center"/>
        <w:rPr>
          <w:rFonts w:cs="David"/>
          <w:b/>
          <w:bCs/>
          <w:sz w:val="32"/>
          <w:szCs w:val="32"/>
          <w:rtl/>
        </w:rPr>
      </w:pPr>
      <w:r>
        <w:rPr>
          <w:rFonts w:cs="David"/>
          <w:sz w:val="26"/>
          <w:szCs w:val="26"/>
          <w:rtl/>
        </w:rPr>
        <w:tab/>
      </w:r>
      <w:r>
        <w:rPr>
          <w:rFonts w:cs="David"/>
          <w:sz w:val="26"/>
          <w:szCs w:val="26"/>
          <w:rtl/>
        </w:rPr>
        <w:tab/>
      </w:r>
      <w:r>
        <w:rPr>
          <w:rFonts w:cs="David"/>
          <w:sz w:val="26"/>
          <w:szCs w:val="26"/>
          <w:rtl/>
        </w:rPr>
        <w:tab/>
        <w:t xml:space="preserve">                                                           </w:t>
      </w:r>
      <w:r>
        <w:rPr>
          <w:rFonts w:cs="David"/>
          <w:b/>
          <w:bCs/>
          <w:sz w:val="26"/>
          <w:szCs w:val="26"/>
          <w:rtl/>
        </w:rPr>
        <w:t>פ/1214/17</w:t>
      </w:r>
      <w:r>
        <w:rPr>
          <w:rFonts w:cs="David"/>
          <w:b/>
          <w:bCs/>
          <w:sz w:val="26"/>
          <w:szCs w:val="26"/>
          <w:rtl/>
        </w:rPr>
        <w:tab/>
      </w:r>
      <w:r>
        <w:rPr>
          <w:rFonts w:cs="David"/>
          <w:b/>
          <w:bCs/>
          <w:sz w:val="26"/>
          <w:szCs w:val="26"/>
          <w:rtl/>
        </w:rPr>
        <w:tab/>
      </w:r>
    </w:p>
    <w:p w:rsidR="00000000" w:rsidRDefault="00B728EB">
      <w:pPr>
        <w:spacing w:line="360" w:lineRule="auto"/>
        <w:rPr>
          <w:rFonts w:cs="David"/>
          <w:sz w:val="26"/>
          <w:szCs w:val="26"/>
          <w:rtl/>
        </w:rPr>
      </w:pPr>
    </w:p>
    <w:p w:rsidR="00000000" w:rsidRDefault="00B728EB">
      <w:pPr>
        <w:spacing w:line="360" w:lineRule="auto"/>
        <w:jc w:val="center"/>
        <w:rPr>
          <w:rFonts w:cs="David"/>
          <w:b/>
          <w:bCs/>
          <w:sz w:val="28"/>
          <w:szCs w:val="28"/>
          <w:rtl/>
        </w:rPr>
      </w:pPr>
      <w:r>
        <w:rPr>
          <w:rFonts w:cs="David"/>
          <w:b/>
          <w:bCs/>
          <w:sz w:val="28"/>
          <w:szCs w:val="28"/>
          <w:rtl/>
        </w:rPr>
        <w:t xml:space="preserve">הצעת חוק </w:t>
      </w:r>
      <w:r>
        <w:rPr>
          <w:rFonts w:cs="David"/>
          <w:b/>
          <w:bCs/>
          <w:sz w:val="28"/>
          <w:szCs w:val="28"/>
          <w:rtl/>
        </w:rPr>
        <w:t xml:space="preserve">ארגון הפיקוח על העבודה (תיקון – שירות פיקוח אזרחי), </w:t>
      </w:r>
    </w:p>
    <w:p w:rsidR="00000000" w:rsidRDefault="00B728EB">
      <w:pPr>
        <w:spacing w:line="360" w:lineRule="auto"/>
        <w:jc w:val="center"/>
        <w:rPr>
          <w:rFonts w:cs="David"/>
          <w:b/>
          <w:bCs/>
          <w:sz w:val="28"/>
          <w:szCs w:val="28"/>
          <w:rtl/>
        </w:rPr>
      </w:pPr>
      <w:r>
        <w:rPr>
          <w:rFonts w:cs="David"/>
          <w:b/>
          <w:bCs/>
          <w:sz w:val="28"/>
          <w:szCs w:val="28"/>
          <w:rtl/>
        </w:rPr>
        <w:t>התשס"ו-2006</w:t>
      </w:r>
    </w:p>
    <w:p w:rsidR="00000000" w:rsidRDefault="00B728EB">
      <w:pPr>
        <w:spacing w:line="360" w:lineRule="auto"/>
        <w:rPr>
          <w:rFonts w:cs="David"/>
          <w:sz w:val="26"/>
          <w:szCs w:val="26"/>
          <w:rtl/>
        </w:rPr>
      </w:pPr>
    </w:p>
    <w:tbl>
      <w:tblPr>
        <w:bidiVisual/>
        <w:tblW w:w="0" w:type="auto"/>
        <w:tblCellMar>
          <w:left w:w="57" w:type="dxa"/>
          <w:right w:w="57" w:type="dxa"/>
        </w:tblCellMar>
        <w:tblLook w:val="0000" w:firstRow="0" w:lastRow="0" w:firstColumn="0" w:lastColumn="0" w:noHBand="0" w:noVBand="0"/>
      </w:tblPr>
      <w:tblGrid>
        <w:gridCol w:w="1165"/>
        <w:gridCol w:w="545"/>
        <w:gridCol w:w="589"/>
        <w:gridCol w:w="360"/>
        <w:gridCol w:w="530"/>
        <w:gridCol w:w="565"/>
        <w:gridCol w:w="563"/>
        <w:gridCol w:w="4103"/>
      </w:tblGrid>
      <w:tr w:rsidR="00000000">
        <w:tc>
          <w:tcPr>
            <w:tcW w:w="1168" w:type="dxa"/>
            <w:tcBorders>
              <w:top w:val="nil"/>
              <w:left w:val="nil"/>
              <w:bottom w:val="nil"/>
              <w:right w:val="nil"/>
            </w:tcBorders>
          </w:tcPr>
          <w:p w:rsidR="00000000" w:rsidRDefault="00B728EB">
            <w:pPr>
              <w:rPr>
                <w:rFonts w:cs="David"/>
                <w:sz w:val="26"/>
                <w:szCs w:val="26"/>
              </w:rPr>
            </w:pPr>
            <w:r>
              <w:rPr>
                <w:rFonts w:cs="David"/>
                <w:sz w:val="26"/>
                <w:szCs w:val="26"/>
                <w:rtl/>
              </w:rPr>
              <w:t>הוספת פרק ראשון: 1</w:t>
            </w:r>
          </w:p>
        </w:tc>
        <w:tc>
          <w:tcPr>
            <w:tcW w:w="546" w:type="dxa"/>
            <w:tcBorders>
              <w:top w:val="nil"/>
              <w:left w:val="nil"/>
              <w:bottom w:val="nil"/>
              <w:right w:val="nil"/>
            </w:tcBorders>
          </w:tcPr>
          <w:p w:rsidR="00000000" w:rsidRDefault="00B728EB">
            <w:pPr>
              <w:spacing w:line="360" w:lineRule="auto"/>
              <w:rPr>
                <w:rFonts w:cs="David"/>
                <w:sz w:val="26"/>
                <w:szCs w:val="26"/>
              </w:rPr>
            </w:pPr>
            <w:r>
              <w:rPr>
                <w:rFonts w:cs="David"/>
                <w:sz w:val="26"/>
                <w:szCs w:val="26"/>
                <w:rtl/>
              </w:rPr>
              <w:t>1.</w:t>
            </w:r>
          </w:p>
        </w:tc>
        <w:tc>
          <w:tcPr>
            <w:tcW w:w="6706" w:type="dxa"/>
            <w:gridSpan w:val="6"/>
            <w:tcBorders>
              <w:top w:val="nil"/>
              <w:left w:val="nil"/>
              <w:bottom w:val="nil"/>
              <w:right w:val="nil"/>
            </w:tcBorders>
          </w:tcPr>
          <w:p w:rsidR="00000000" w:rsidRDefault="00B728EB">
            <w:pPr>
              <w:spacing w:line="360" w:lineRule="auto"/>
              <w:jc w:val="both"/>
              <w:rPr>
                <w:rFonts w:cs="David"/>
                <w:sz w:val="26"/>
                <w:szCs w:val="26"/>
              </w:rPr>
            </w:pPr>
            <w:r>
              <w:rPr>
                <w:rFonts w:cs="David"/>
                <w:sz w:val="26"/>
                <w:szCs w:val="26"/>
                <w:rtl/>
              </w:rPr>
              <w:t>בחוק ארגון הפיקוח על העבודה, התשי"ד-1954</w:t>
            </w:r>
            <w:r>
              <w:rPr>
                <w:rStyle w:val="aa"/>
                <w:rFonts w:cs="David"/>
                <w:sz w:val="26"/>
                <w:szCs w:val="26"/>
              </w:rPr>
              <w:footnoteReference w:id="1"/>
            </w:r>
            <w:r>
              <w:rPr>
                <w:rFonts w:cs="David"/>
                <w:sz w:val="26"/>
                <w:szCs w:val="26"/>
                <w:rtl/>
              </w:rPr>
              <w:t xml:space="preserve"> (להלן – החוק העיקרי), אחרי סעיף 8ו יבוא:</w:t>
            </w:r>
          </w:p>
        </w:tc>
      </w:tr>
      <w:tr w:rsidR="00000000">
        <w:tc>
          <w:tcPr>
            <w:tcW w:w="1168" w:type="dxa"/>
            <w:tcBorders>
              <w:top w:val="nil"/>
              <w:left w:val="nil"/>
              <w:bottom w:val="nil"/>
              <w:right w:val="nil"/>
            </w:tcBorders>
          </w:tcPr>
          <w:p w:rsidR="00000000" w:rsidRDefault="00B728EB">
            <w:pPr>
              <w:rPr>
                <w:rFonts w:cs="David"/>
                <w:sz w:val="26"/>
                <w:szCs w:val="26"/>
              </w:rPr>
            </w:pPr>
          </w:p>
        </w:tc>
        <w:tc>
          <w:tcPr>
            <w:tcW w:w="546" w:type="dxa"/>
            <w:tcBorders>
              <w:top w:val="nil"/>
              <w:left w:val="nil"/>
              <w:bottom w:val="nil"/>
              <w:right w:val="nil"/>
            </w:tcBorders>
          </w:tcPr>
          <w:p w:rsidR="00000000" w:rsidRDefault="00B728EB">
            <w:pPr>
              <w:spacing w:line="360" w:lineRule="auto"/>
              <w:rPr>
                <w:rFonts w:cs="David"/>
                <w:sz w:val="26"/>
                <w:szCs w:val="26"/>
              </w:rPr>
            </w:pPr>
          </w:p>
        </w:tc>
        <w:tc>
          <w:tcPr>
            <w:tcW w:w="6706" w:type="dxa"/>
            <w:gridSpan w:val="6"/>
            <w:tcBorders>
              <w:top w:val="nil"/>
              <w:left w:val="nil"/>
              <w:bottom w:val="nil"/>
              <w:right w:val="nil"/>
            </w:tcBorders>
          </w:tcPr>
          <w:p w:rsidR="00000000" w:rsidRDefault="00B728EB">
            <w:pPr>
              <w:spacing w:line="360" w:lineRule="auto"/>
              <w:jc w:val="center"/>
              <w:rPr>
                <w:rFonts w:cs="David"/>
                <w:b/>
                <w:bCs/>
                <w:sz w:val="26"/>
                <w:szCs w:val="26"/>
              </w:rPr>
            </w:pPr>
            <w:r>
              <w:rPr>
                <w:rFonts w:cs="David"/>
                <w:b/>
                <w:bCs/>
                <w:sz w:val="26"/>
                <w:szCs w:val="26"/>
                <w:rtl/>
              </w:rPr>
              <w:t>"פרק  ראשון1: שירות הפיקוח האזרחי</w:t>
            </w:r>
          </w:p>
        </w:tc>
      </w:tr>
      <w:tr w:rsidR="00000000">
        <w:trPr>
          <w:cantSplit/>
        </w:trPr>
        <w:tc>
          <w:tcPr>
            <w:tcW w:w="1168" w:type="dxa"/>
            <w:tcBorders>
              <w:top w:val="nil"/>
              <w:left w:val="nil"/>
              <w:bottom w:val="nil"/>
              <w:right w:val="nil"/>
            </w:tcBorders>
          </w:tcPr>
          <w:p w:rsidR="00000000" w:rsidRDefault="00B728EB">
            <w:pPr>
              <w:rPr>
                <w:rFonts w:cs="David"/>
                <w:sz w:val="26"/>
                <w:szCs w:val="26"/>
              </w:rPr>
            </w:pPr>
          </w:p>
        </w:tc>
        <w:tc>
          <w:tcPr>
            <w:tcW w:w="546" w:type="dxa"/>
            <w:tcBorders>
              <w:top w:val="nil"/>
              <w:left w:val="nil"/>
              <w:bottom w:val="nil"/>
              <w:right w:val="nil"/>
            </w:tcBorders>
          </w:tcPr>
          <w:p w:rsidR="00000000" w:rsidRDefault="00B728EB">
            <w:pPr>
              <w:spacing w:line="360" w:lineRule="auto"/>
              <w:rPr>
                <w:rFonts w:cs="David"/>
                <w:sz w:val="26"/>
                <w:szCs w:val="26"/>
              </w:rPr>
            </w:pPr>
          </w:p>
        </w:tc>
        <w:tc>
          <w:tcPr>
            <w:tcW w:w="927" w:type="dxa"/>
            <w:gridSpan w:val="2"/>
            <w:vMerge w:val="restart"/>
            <w:tcBorders>
              <w:top w:val="nil"/>
              <w:left w:val="nil"/>
              <w:bottom w:val="nil"/>
              <w:right w:val="nil"/>
            </w:tcBorders>
          </w:tcPr>
          <w:p w:rsidR="00000000" w:rsidRDefault="00B728EB">
            <w:pPr>
              <w:spacing w:line="360" w:lineRule="auto"/>
              <w:jc w:val="both"/>
              <w:rPr>
                <w:rFonts w:cs="David"/>
                <w:sz w:val="26"/>
                <w:szCs w:val="26"/>
              </w:rPr>
            </w:pPr>
            <w:r>
              <w:rPr>
                <w:rFonts w:cs="David"/>
                <w:sz w:val="26"/>
                <w:szCs w:val="26"/>
                <w:rtl/>
              </w:rPr>
              <w:t>הקמת שירות הפיקוח האזר</w:t>
            </w:r>
            <w:r>
              <w:rPr>
                <w:rFonts w:cs="David"/>
                <w:sz w:val="26"/>
                <w:szCs w:val="26"/>
                <w:rtl/>
              </w:rPr>
              <w:t>חי ותפקידו</w:t>
            </w:r>
          </w:p>
        </w:tc>
        <w:tc>
          <w:tcPr>
            <w:tcW w:w="530" w:type="dxa"/>
            <w:tcBorders>
              <w:top w:val="nil"/>
              <w:left w:val="nil"/>
              <w:bottom w:val="nil"/>
              <w:right w:val="nil"/>
            </w:tcBorders>
          </w:tcPr>
          <w:p w:rsidR="00000000" w:rsidRDefault="00B728EB">
            <w:pPr>
              <w:spacing w:line="360" w:lineRule="auto"/>
              <w:jc w:val="both"/>
              <w:rPr>
                <w:rFonts w:cs="David"/>
                <w:sz w:val="26"/>
                <w:szCs w:val="26"/>
              </w:rPr>
            </w:pPr>
            <w:r>
              <w:rPr>
                <w:rFonts w:cs="David"/>
                <w:sz w:val="26"/>
                <w:szCs w:val="26"/>
                <w:rtl/>
              </w:rPr>
              <w:t>8ז.</w:t>
            </w:r>
          </w:p>
        </w:tc>
        <w:tc>
          <w:tcPr>
            <w:tcW w:w="566" w:type="dxa"/>
            <w:tcBorders>
              <w:top w:val="nil"/>
              <w:left w:val="nil"/>
              <w:bottom w:val="nil"/>
              <w:right w:val="nil"/>
            </w:tcBorders>
          </w:tcPr>
          <w:p w:rsidR="00000000" w:rsidRDefault="00B728EB">
            <w:pPr>
              <w:spacing w:line="360" w:lineRule="auto"/>
              <w:rPr>
                <w:rFonts w:cs="David"/>
                <w:sz w:val="26"/>
                <w:szCs w:val="26"/>
              </w:rPr>
            </w:pPr>
            <w:r>
              <w:rPr>
                <w:rFonts w:cs="David"/>
                <w:sz w:val="26"/>
                <w:szCs w:val="26"/>
                <w:rtl/>
              </w:rPr>
              <w:t>(א)</w:t>
            </w:r>
          </w:p>
        </w:tc>
        <w:tc>
          <w:tcPr>
            <w:tcW w:w="4683" w:type="dxa"/>
            <w:gridSpan w:val="2"/>
            <w:tcBorders>
              <w:top w:val="nil"/>
              <w:left w:val="nil"/>
              <w:bottom w:val="nil"/>
              <w:right w:val="nil"/>
            </w:tcBorders>
          </w:tcPr>
          <w:p w:rsidR="00000000" w:rsidRDefault="00B728EB">
            <w:pPr>
              <w:spacing w:line="360" w:lineRule="auto"/>
              <w:jc w:val="both"/>
              <w:rPr>
                <w:rFonts w:cs="David"/>
                <w:sz w:val="26"/>
                <w:szCs w:val="26"/>
              </w:rPr>
            </w:pPr>
            <w:r>
              <w:rPr>
                <w:rFonts w:cs="David"/>
                <w:sz w:val="26"/>
                <w:szCs w:val="26"/>
                <w:rtl/>
              </w:rPr>
              <w:t>מוקם בזה, ליד השירות, שירות הפיקוח האזרחי על העבודה (להלן – שירות הפיקוח האזרחי).</w:t>
            </w:r>
          </w:p>
        </w:tc>
      </w:tr>
      <w:tr w:rsidR="00000000">
        <w:trPr>
          <w:cantSplit/>
        </w:trPr>
        <w:tc>
          <w:tcPr>
            <w:tcW w:w="1168" w:type="dxa"/>
            <w:tcBorders>
              <w:top w:val="nil"/>
              <w:left w:val="nil"/>
              <w:bottom w:val="nil"/>
              <w:right w:val="nil"/>
            </w:tcBorders>
          </w:tcPr>
          <w:p w:rsidR="00000000" w:rsidRDefault="00B728EB">
            <w:pPr>
              <w:rPr>
                <w:rFonts w:cs="David"/>
                <w:sz w:val="26"/>
                <w:szCs w:val="26"/>
              </w:rPr>
            </w:pPr>
          </w:p>
        </w:tc>
        <w:tc>
          <w:tcPr>
            <w:tcW w:w="546" w:type="dxa"/>
            <w:tcBorders>
              <w:top w:val="nil"/>
              <w:left w:val="nil"/>
              <w:bottom w:val="nil"/>
              <w:right w:val="nil"/>
            </w:tcBorders>
          </w:tcPr>
          <w:p w:rsidR="00000000" w:rsidRDefault="00B728EB">
            <w:pPr>
              <w:spacing w:line="360" w:lineRule="auto"/>
              <w:rPr>
                <w:rFonts w:cs="David"/>
                <w:sz w:val="26"/>
                <w:szCs w:val="26"/>
              </w:rPr>
            </w:pPr>
          </w:p>
        </w:tc>
        <w:tc>
          <w:tcPr>
            <w:tcW w:w="927" w:type="dxa"/>
            <w:gridSpan w:val="2"/>
            <w:vMerge/>
            <w:tcBorders>
              <w:top w:val="nil"/>
              <w:left w:val="nil"/>
              <w:bottom w:val="nil"/>
              <w:right w:val="nil"/>
            </w:tcBorders>
          </w:tcPr>
          <w:p w:rsidR="00000000" w:rsidRDefault="00B728EB">
            <w:pPr>
              <w:spacing w:line="360" w:lineRule="auto"/>
              <w:jc w:val="both"/>
              <w:rPr>
                <w:rFonts w:cs="David"/>
                <w:sz w:val="26"/>
                <w:szCs w:val="26"/>
              </w:rPr>
            </w:pPr>
          </w:p>
        </w:tc>
        <w:tc>
          <w:tcPr>
            <w:tcW w:w="530" w:type="dxa"/>
            <w:tcBorders>
              <w:top w:val="nil"/>
              <w:left w:val="nil"/>
              <w:bottom w:val="nil"/>
              <w:right w:val="nil"/>
            </w:tcBorders>
          </w:tcPr>
          <w:p w:rsidR="00000000" w:rsidRDefault="00B728EB">
            <w:pPr>
              <w:spacing w:line="360" w:lineRule="auto"/>
              <w:jc w:val="both"/>
              <w:rPr>
                <w:rFonts w:cs="David"/>
                <w:sz w:val="26"/>
                <w:szCs w:val="26"/>
              </w:rPr>
            </w:pPr>
          </w:p>
        </w:tc>
        <w:tc>
          <w:tcPr>
            <w:tcW w:w="566" w:type="dxa"/>
            <w:tcBorders>
              <w:top w:val="nil"/>
              <w:left w:val="nil"/>
              <w:bottom w:val="nil"/>
              <w:right w:val="nil"/>
            </w:tcBorders>
          </w:tcPr>
          <w:p w:rsidR="00000000" w:rsidRDefault="00B728EB">
            <w:pPr>
              <w:spacing w:line="360" w:lineRule="auto"/>
              <w:rPr>
                <w:rFonts w:cs="David"/>
                <w:sz w:val="26"/>
                <w:szCs w:val="26"/>
              </w:rPr>
            </w:pPr>
            <w:r>
              <w:rPr>
                <w:rFonts w:cs="David"/>
                <w:sz w:val="26"/>
                <w:szCs w:val="26"/>
                <w:rtl/>
              </w:rPr>
              <w:t>(ב)</w:t>
            </w:r>
          </w:p>
        </w:tc>
        <w:tc>
          <w:tcPr>
            <w:tcW w:w="4683" w:type="dxa"/>
            <w:gridSpan w:val="2"/>
            <w:tcBorders>
              <w:top w:val="nil"/>
              <w:left w:val="nil"/>
              <w:bottom w:val="nil"/>
              <w:right w:val="nil"/>
            </w:tcBorders>
          </w:tcPr>
          <w:p w:rsidR="00000000" w:rsidRDefault="00B728EB">
            <w:pPr>
              <w:spacing w:line="360" w:lineRule="auto"/>
              <w:jc w:val="both"/>
              <w:rPr>
                <w:rFonts w:cs="David"/>
                <w:sz w:val="26"/>
                <w:szCs w:val="26"/>
              </w:rPr>
            </w:pPr>
            <w:r>
              <w:rPr>
                <w:rFonts w:cs="David"/>
                <w:sz w:val="26"/>
                <w:szCs w:val="26"/>
                <w:rtl/>
              </w:rPr>
              <w:t>בכל פעולה שהשירות מוסמך לעשות, לענין קיום כל חיקוק שהשר הטיל על השירות לפי סעיף 1(1) לחוק זה, רשאי הוא להסתייע בשירות הפיקוח האזרחי.</w:t>
            </w:r>
          </w:p>
        </w:tc>
      </w:tr>
      <w:tr w:rsidR="00000000">
        <w:tc>
          <w:tcPr>
            <w:tcW w:w="1168" w:type="dxa"/>
            <w:tcBorders>
              <w:top w:val="nil"/>
              <w:left w:val="nil"/>
              <w:bottom w:val="nil"/>
              <w:right w:val="nil"/>
            </w:tcBorders>
          </w:tcPr>
          <w:p w:rsidR="00000000" w:rsidRDefault="00B728EB">
            <w:pPr>
              <w:rPr>
                <w:rFonts w:cs="David"/>
                <w:sz w:val="26"/>
                <w:szCs w:val="26"/>
              </w:rPr>
            </w:pPr>
          </w:p>
        </w:tc>
        <w:tc>
          <w:tcPr>
            <w:tcW w:w="546" w:type="dxa"/>
            <w:tcBorders>
              <w:top w:val="nil"/>
              <w:left w:val="nil"/>
              <w:bottom w:val="nil"/>
              <w:right w:val="nil"/>
            </w:tcBorders>
          </w:tcPr>
          <w:p w:rsidR="00000000" w:rsidRDefault="00B728EB">
            <w:pPr>
              <w:spacing w:line="360" w:lineRule="auto"/>
              <w:rPr>
                <w:rFonts w:cs="David"/>
                <w:sz w:val="26"/>
                <w:szCs w:val="26"/>
              </w:rPr>
            </w:pPr>
          </w:p>
        </w:tc>
        <w:tc>
          <w:tcPr>
            <w:tcW w:w="927" w:type="dxa"/>
            <w:gridSpan w:val="2"/>
            <w:tcBorders>
              <w:top w:val="nil"/>
              <w:left w:val="nil"/>
              <w:bottom w:val="nil"/>
              <w:right w:val="nil"/>
            </w:tcBorders>
          </w:tcPr>
          <w:p w:rsidR="00000000" w:rsidRDefault="00B728EB">
            <w:pPr>
              <w:spacing w:line="360" w:lineRule="auto"/>
              <w:jc w:val="both"/>
              <w:rPr>
                <w:rFonts w:cs="David"/>
                <w:sz w:val="26"/>
                <w:szCs w:val="26"/>
              </w:rPr>
            </w:pPr>
          </w:p>
        </w:tc>
        <w:tc>
          <w:tcPr>
            <w:tcW w:w="530" w:type="dxa"/>
            <w:tcBorders>
              <w:top w:val="nil"/>
              <w:left w:val="nil"/>
              <w:bottom w:val="nil"/>
              <w:right w:val="nil"/>
            </w:tcBorders>
          </w:tcPr>
          <w:p w:rsidR="00000000" w:rsidRDefault="00B728EB">
            <w:pPr>
              <w:spacing w:line="360" w:lineRule="auto"/>
              <w:jc w:val="both"/>
              <w:rPr>
                <w:rFonts w:cs="David"/>
                <w:sz w:val="26"/>
                <w:szCs w:val="26"/>
              </w:rPr>
            </w:pPr>
          </w:p>
        </w:tc>
        <w:tc>
          <w:tcPr>
            <w:tcW w:w="566" w:type="dxa"/>
            <w:tcBorders>
              <w:top w:val="nil"/>
              <w:left w:val="nil"/>
              <w:bottom w:val="nil"/>
              <w:right w:val="nil"/>
            </w:tcBorders>
          </w:tcPr>
          <w:p w:rsidR="00000000" w:rsidRDefault="00B728EB">
            <w:pPr>
              <w:spacing w:line="360" w:lineRule="auto"/>
              <w:rPr>
                <w:rFonts w:cs="David"/>
                <w:sz w:val="26"/>
                <w:szCs w:val="26"/>
              </w:rPr>
            </w:pPr>
            <w:r>
              <w:rPr>
                <w:rFonts w:cs="David"/>
                <w:sz w:val="26"/>
                <w:szCs w:val="26"/>
                <w:rtl/>
              </w:rPr>
              <w:t>(ג)</w:t>
            </w:r>
          </w:p>
        </w:tc>
        <w:tc>
          <w:tcPr>
            <w:tcW w:w="4683" w:type="dxa"/>
            <w:gridSpan w:val="2"/>
            <w:tcBorders>
              <w:top w:val="nil"/>
              <w:left w:val="nil"/>
              <w:bottom w:val="nil"/>
              <w:right w:val="nil"/>
            </w:tcBorders>
          </w:tcPr>
          <w:p w:rsidR="00000000" w:rsidRDefault="00B728EB">
            <w:pPr>
              <w:spacing w:line="360" w:lineRule="auto"/>
              <w:jc w:val="both"/>
              <w:rPr>
                <w:rFonts w:cs="David"/>
                <w:sz w:val="26"/>
                <w:szCs w:val="26"/>
              </w:rPr>
            </w:pPr>
            <w:r>
              <w:rPr>
                <w:rFonts w:cs="David"/>
                <w:sz w:val="26"/>
                <w:szCs w:val="26"/>
                <w:rtl/>
              </w:rPr>
              <w:t>תפקי</w:t>
            </w:r>
            <w:r>
              <w:rPr>
                <w:rFonts w:cs="David"/>
                <w:sz w:val="26"/>
                <w:szCs w:val="26"/>
                <w:rtl/>
              </w:rPr>
              <w:t xml:space="preserve">די שירות הפיקוח האזרחי יהיו – </w:t>
            </w:r>
          </w:p>
        </w:tc>
      </w:tr>
      <w:tr w:rsidR="00000000">
        <w:tc>
          <w:tcPr>
            <w:tcW w:w="1168" w:type="dxa"/>
            <w:tcBorders>
              <w:top w:val="nil"/>
              <w:left w:val="nil"/>
              <w:bottom w:val="nil"/>
              <w:right w:val="nil"/>
            </w:tcBorders>
          </w:tcPr>
          <w:p w:rsidR="00000000" w:rsidRDefault="00B728EB">
            <w:pPr>
              <w:rPr>
                <w:rFonts w:cs="David"/>
                <w:sz w:val="26"/>
                <w:szCs w:val="26"/>
              </w:rPr>
            </w:pPr>
          </w:p>
        </w:tc>
        <w:tc>
          <w:tcPr>
            <w:tcW w:w="546" w:type="dxa"/>
            <w:tcBorders>
              <w:top w:val="nil"/>
              <w:left w:val="nil"/>
              <w:bottom w:val="nil"/>
              <w:right w:val="nil"/>
            </w:tcBorders>
          </w:tcPr>
          <w:p w:rsidR="00000000" w:rsidRDefault="00B728EB">
            <w:pPr>
              <w:spacing w:line="360" w:lineRule="auto"/>
              <w:rPr>
                <w:rFonts w:cs="David"/>
                <w:sz w:val="26"/>
                <w:szCs w:val="26"/>
              </w:rPr>
            </w:pPr>
          </w:p>
        </w:tc>
        <w:tc>
          <w:tcPr>
            <w:tcW w:w="927" w:type="dxa"/>
            <w:gridSpan w:val="2"/>
            <w:tcBorders>
              <w:top w:val="nil"/>
              <w:left w:val="nil"/>
              <w:bottom w:val="nil"/>
              <w:right w:val="nil"/>
            </w:tcBorders>
          </w:tcPr>
          <w:p w:rsidR="00000000" w:rsidRDefault="00B728EB">
            <w:pPr>
              <w:spacing w:line="360" w:lineRule="auto"/>
              <w:jc w:val="both"/>
              <w:rPr>
                <w:rFonts w:cs="David"/>
                <w:sz w:val="26"/>
                <w:szCs w:val="26"/>
              </w:rPr>
            </w:pPr>
          </w:p>
        </w:tc>
        <w:tc>
          <w:tcPr>
            <w:tcW w:w="530" w:type="dxa"/>
            <w:tcBorders>
              <w:top w:val="nil"/>
              <w:left w:val="nil"/>
              <w:bottom w:val="nil"/>
              <w:right w:val="nil"/>
            </w:tcBorders>
          </w:tcPr>
          <w:p w:rsidR="00000000" w:rsidRDefault="00B728EB">
            <w:pPr>
              <w:spacing w:line="360" w:lineRule="auto"/>
              <w:jc w:val="both"/>
              <w:rPr>
                <w:rFonts w:cs="David"/>
                <w:sz w:val="26"/>
                <w:szCs w:val="26"/>
              </w:rPr>
            </w:pPr>
          </w:p>
        </w:tc>
        <w:tc>
          <w:tcPr>
            <w:tcW w:w="566" w:type="dxa"/>
            <w:tcBorders>
              <w:top w:val="nil"/>
              <w:left w:val="nil"/>
              <w:bottom w:val="nil"/>
              <w:right w:val="nil"/>
            </w:tcBorders>
          </w:tcPr>
          <w:p w:rsidR="00000000" w:rsidRDefault="00B728EB">
            <w:pPr>
              <w:spacing w:line="360" w:lineRule="auto"/>
              <w:rPr>
                <w:rFonts w:cs="David"/>
                <w:sz w:val="26"/>
                <w:szCs w:val="26"/>
              </w:rPr>
            </w:pPr>
          </w:p>
        </w:tc>
        <w:tc>
          <w:tcPr>
            <w:tcW w:w="564" w:type="dxa"/>
            <w:tcBorders>
              <w:top w:val="nil"/>
              <w:left w:val="nil"/>
              <w:bottom w:val="nil"/>
              <w:right w:val="nil"/>
            </w:tcBorders>
          </w:tcPr>
          <w:p w:rsidR="00000000" w:rsidRDefault="00B728EB">
            <w:pPr>
              <w:spacing w:line="360" w:lineRule="auto"/>
              <w:rPr>
                <w:rFonts w:cs="David"/>
                <w:sz w:val="26"/>
                <w:szCs w:val="26"/>
              </w:rPr>
            </w:pPr>
            <w:r>
              <w:rPr>
                <w:rFonts w:cs="David"/>
                <w:sz w:val="26"/>
                <w:szCs w:val="26"/>
                <w:rtl/>
              </w:rPr>
              <w:t>(1)</w:t>
            </w:r>
          </w:p>
        </w:tc>
        <w:tc>
          <w:tcPr>
            <w:tcW w:w="4119" w:type="dxa"/>
            <w:tcBorders>
              <w:top w:val="nil"/>
              <w:left w:val="nil"/>
              <w:bottom w:val="nil"/>
              <w:right w:val="nil"/>
            </w:tcBorders>
          </w:tcPr>
          <w:p w:rsidR="00000000" w:rsidRDefault="00B728EB">
            <w:pPr>
              <w:spacing w:line="360" w:lineRule="auto"/>
              <w:jc w:val="both"/>
              <w:rPr>
                <w:rFonts w:cs="David"/>
                <w:sz w:val="26"/>
                <w:szCs w:val="26"/>
              </w:rPr>
            </w:pPr>
            <w:r>
              <w:rPr>
                <w:rFonts w:cs="David"/>
                <w:sz w:val="26"/>
                <w:szCs w:val="26"/>
                <w:rtl/>
              </w:rPr>
              <w:t>לפקח על קיום כל חיקוק שהשר הטיל על השירות, בהודעה שפורסמה ברשומות, את הפיקוח על קיומו, כאמור בסעיף 1(1) לחוק זה;</w:t>
            </w:r>
          </w:p>
        </w:tc>
      </w:tr>
      <w:tr w:rsidR="00000000">
        <w:tc>
          <w:tcPr>
            <w:tcW w:w="1168" w:type="dxa"/>
            <w:tcBorders>
              <w:top w:val="nil"/>
              <w:left w:val="nil"/>
              <w:bottom w:val="nil"/>
              <w:right w:val="nil"/>
            </w:tcBorders>
          </w:tcPr>
          <w:p w:rsidR="00000000" w:rsidRDefault="00B728EB">
            <w:pPr>
              <w:rPr>
                <w:rFonts w:cs="David"/>
                <w:sz w:val="26"/>
                <w:szCs w:val="26"/>
              </w:rPr>
            </w:pPr>
          </w:p>
        </w:tc>
        <w:tc>
          <w:tcPr>
            <w:tcW w:w="546" w:type="dxa"/>
            <w:tcBorders>
              <w:top w:val="nil"/>
              <w:left w:val="nil"/>
              <w:bottom w:val="nil"/>
              <w:right w:val="nil"/>
            </w:tcBorders>
          </w:tcPr>
          <w:p w:rsidR="00000000" w:rsidRDefault="00B728EB">
            <w:pPr>
              <w:spacing w:line="360" w:lineRule="auto"/>
              <w:rPr>
                <w:rFonts w:cs="David"/>
                <w:sz w:val="26"/>
                <w:szCs w:val="26"/>
              </w:rPr>
            </w:pPr>
          </w:p>
        </w:tc>
        <w:tc>
          <w:tcPr>
            <w:tcW w:w="927" w:type="dxa"/>
            <w:gridSpan w:val="2"/>
            <w:tcBorders>
              <w:top w:val="nil"/>
              <w:left w:val="nil"/>
              <w:bottom w:val="nil"/>
              <w:right w:val="nil"/>
            </w:tcBorders>
          </w:tcPr>
          <w:p w:rsidR="00000000" w:rsidRDefault="00B728EB">
            <w:pPr>
              <w:spacing w:line="360" w:lineRule="auto"/>
              <w:jc w:val="both"/>
              <w:rPr>
                <w:rFonts w:cs="David"/>
                <w:sz w:val="26"/>
                <w:szCs w:val="26"/>
              </w:rPr>
            </w:pPr>
          </w:p>
        </w:tc>
        <w:tc>
          <w:tcPr>
            <w:tcW w:w="530" w:type="dxa"/>
            <w:tcBorders>
              <w:top w:val="nil"/>
              <w:left w:val="nil"/>
              <w:bottom w:val="nil"/>
              <w:right w:val="nil"/>
            </w:tcBorders>
          </w:tcPr>
          <w:p w:rsidR="00000000" w:rsidRDefault="00B728EB">
            <w:pPr>
              <w:spacing w:line="360" w:lineRule="auto"/>
              <w:jc w:val="both"/>
              <w:rPr>
                <w:rFonts w:cs="David"/>
                <w:sz w:val="26"/>
                <w:szCs w:val="26"/>
              </w:rPr>
            </w:pPr>
          </w:p>
        </w:tc>
        <w:tc>
          <w:tcPr>
            <w:tcW w:w="566" w:type="dxa"/>
            <w:tcBorders>
              <w:top w:val="nil"/>
              <w:left w:val="nil"/>
              <w:bottom w:val="nil"/>
              <w:right w:val="nil"/>
            </w:tcBorders>
          </w:tcPr>
          <w:p w:rsidR="00000000" w:rsidRDefault="00B728EB">
            <w:pPr>
              <w:spacing w:line="360" w:lineRule="auto"/>
              <w:rPr>
                <w:rFonts w:cs="David"/>
                <w:sz w:val="26"/>
                <w:szCs w:val="26"/>
              </w:rPr>
            </w:pPr>
          </w:p>
        </w:tc>
        <w:tc>
          <w:tcPr>
            <w:tcW w:w="564" w:type="dxa"/>
            <w:tcBorders>
              <w:top w:val="nil"/>
              <w:left w:val="nil"/>
              <w:bottom w:val="nil"/>
              <w:right w:val="nil"/>
            </w:tcBorders>
          </w:tcPr>
          <w:p w:rsidR="00000000" w:rsidRDefault="00B728EB">
            <w:pPr>
              <w:spacing w:line="360" w:lineRule="auto"/>
              <w:rPr>
                <w:rFonts w:cs="David"/>
                <w:sz w:val="26"/>
                <w:szCs w:val="26"/>
              </w:rPr>
            </w:pPr>
            <w:r>
              <w:rPr>
                <w:rFonts w:cs="David"/>
                <w:sz w:val="26"/>
                <w:szCs w:val="26"/>
                <w:rtl/>
              </w:rPr>
              <w:t>(2)</w:t>
            </w:r>
          </w:p>
        </w:tc>
        <w:tc>
          <w:tcPr>
            <w:tcW w:w="4119" w:type="dxa"/>
            <w:tcBorders>
              <w:top w:val="nil"/>
              <w:left w:val="nil"/>
              <w:bottom w:val="nil"/>
              <w:right w:val="nil"/>
            </w:tcBorders>
          </w:tcPr>
          <w:p w:rsidR="00000000" w:rsidRDefault="00B728EB">
            <w:pPr>
              <w:spacing w:line="360" w:lineRule="auto"/>
              <w:jc w:val="both"/>
              <w:rPr>
                <w:rFonts w:cs="David"/>
                <w:sz w:val="26"/>
                <w:szCs w:val="26"/>
              </w:rPr>
            </w:pPr>
            <w:r>
              <w:rPr>
                <w:rFonts w:cs="David"/>
                <w:sz w:val="26"/>
                <w:szCs w:val="26"/>
                <w:rtl/>
              </w:rPr>
              <w:t>לפקח על אכיפת כל חיקוק, שלמפקח לפי סעיף 18 לחוק שוויון ההזדמנויות בעבודה, התשמ"ח–1988</w:t>
            </w:r>
            <w:r>
              <w:rPr>
                <w:rStyle w:val="aa"/>
                <w:rFonts w:cs="David"/>
                <w:sz w:val="26"/>
                <w:szCs w:val="26"/>
                <w:rtl/>
              </w:rPr>
              <w:footnoteReference w:id="2"/>
            </w:r>
            <w:r>
              <w:rPr>
                <w:rFonts w:cs="David"/>
                <w:sz w:val="26"/>
                <w:szCs w:val="26"/>
                <w:rtl/>
              </w:rPr>
              <w:t xml:space="preserve"> (להלן – חוק שוויון ההזדמנויות), יש סמכות לפקח על קיומו. </w:t>
            </w:r>
          </w:p>
        </w:tc>
      </w:tr>
      <w:tr w:rsidR="00000000">
        <w:tc>
          <w:tcPr>
            <w:tcW w:w="1168" w:type="dxa"/>
            <w:tcBorders>
              <w:top w:val="nil"/>
              <w:left w:val="nil"/>
              <w:bottom w:val="nil"/>
              <w:right w:val="nil"/>
            </w:tcBorders>
          </w:tcPr>
          <w:p w:rsidR="00000000" w:rsidRDefault="00B728EB">
            <w:pPr>
              <w:rPr>
                <w:rFonts w:cs="David"/>
                <w:sz w:val="26"/>
                <w:szCs w:val="26"/>
              </w:rPr>
            </w:pPr>
          </w:p>
        </w:tc>
        <w:tc>
          <w:tcPr>
            <w:tcW w:w="546" w:type="dxa"/>
            <w:tcBorders>
              <w:top w:val="nil"/>
              <w:left w:val="nil"/>
              <w:bottom w:val="nil"/>
              <w:right w:val="nil"/>
            </w:tcBorders>
          </w:tcPr>
          <w:p w:rsidR="00000000" w:rsidRDefault="00B728EB">
            <w:pPr>
              <w:spacing w:line="360" w:lineRule="auto"/>
              <w:rPr>
                <w:rFonts w:cs="David"/>
                <w:sz w:val="26"/>
                <w:szCs w:val="26"/>
              </w:rPr>
            </w:pPr>
          </w:p>
        </w:tc>
        <w:tc>
          <w:tcPr>
            <w:tcW w:w="927" w:type="dxa"/>
            <w:gridSpan w:val="2"/>
            <w:tcBorders>
              <w:top w:val="nil"/>
              <w:left w:val="nil"/>
              <w:bottom w:val="nil"/>
              <w:right w:val="nil"/>
            </w:tcBorders>
          </w:tcPr>
          <w:p w:rsidR="00000000" w:rsidRDefault="00B728EB">
            <w:pPr>
              <w:spacing w:line="360" w:lineRule="auto"/>
              <w:jc w:val="both"/>
              <w:rPr>
                <w:rFonts w:cs="David"/>
                <w:sz w:val="26"/>
                <w:szCs w:val="26"/>
              </w:rPr>
            </w:pPr>
            <w:r>
              <w:rPr>
                <w:rFonts w:cs="David"/>
                <w:sz w:val="26"/>
                <w:szCs w:val="26"/>
                <w:rtl/>
              </w:rPr>
              <w:t>מנגנון שירות הפיקוח האזרחי</w:t>
            </w:r>
          </w:p>
        </w:tc>
        <w:tc>
          <w:tcPr>
            <w:tcW w:w="530" w:type="dxa"/>
            <w:tcBorders>
              <w:top w:val="nil"/>
              <w:left w:val="nil"/>
              <w:bottom w:val="nil"/>
              <w:right w:val="nil"/>
            </w:tcBorders>
          </w:tcPr>
          <w:p w:rsidR="00000000" w:rsidRDefault="00B728EB">
            <w:pPr>
              <w:spacing w:line="360" w:lineRule="auto"/>
              <w:jc w:val="both"/>
              <w:rPr>
                <w:rFonts w:cs="David"/>
                <w:sz w:val="26"/>
                <w:szCs w:val="26"/>
              </w:rPr>
            </w:pPr>
            <w:r>
              <w:rPr>
                <w:rFonts w:cs="David"/>
                <w:sz w:val="26"/>
                <w:szCs w:val="26"/>
                <w:rtl/>
              </w:rPr>
              <w:t>8ח.</w:t>
            </w:r>
          </w:p>
        </w:tc>
        <w:tc>
          <w:tcPr>
            <w:tcW w:w="566" w:type="dxa"/>
            <w:tcBorders>
              <w:top w:val="nil"/>
              <w:left w:val="nil"/>
              <w:bottom w:val="nil"/>
              <w:right w:val="nil"/>
            </w:tcBorders>
          </w:tcPr>
          <w:p w:rsidR="00000000" w:rsidRDefault="00B728EB">
            <w:pPr>
              <w:spacing w:line="360" w:lineRule="auto"/>
              <w:rPr>
                <w:rFonts w:cs="David"/>
                <w:sz w:val="26"/>
                <w:szCs w:val="26"/>
              </w:rPr>
            </w:pPr>
            <w:r>
              <w:rPr>
                <w:rFonts w:cs="David"/>
                <w:sz w:val="26"/>
                <w:szCs w:val="26"/>
                <w:rtl/>
              </w:rPr>
              <w:t>(א)</w:t>
            </w:r>
          </w:p>
        </w:tc>
        <w:tc>
          <w:tcPr>
            <w:tcW w:w="4683" w:type="dxa"/>
            <w:gridSpan w:val="2"/>
            <w:tcBorders>
              <w:top w:val="nil"/>
              <w:left w:val="nil"/>
              <w:bottom w:val="nil"/>
              <w:right w:val="nil"/>
            </w:tcBorders>
          </w:tcPr>
          <w:p w:rsidR="00000000" w:rsidRDefault="00B728EB">
            <w:pPr>
              <w:spacing w:line="360" w:lineRule="auto"/>
              <w:jc w:val="both"/>
              <w:rPr>
                <w:rFonts w:cs="David"/>
                <w:sz w:val="26"/>
                <w:szCs w:val="26"/>
              </w:rPr>
            </w:pPr>
            <w:r>
              <w:rPr>
                <w:rFonts w:cs="David"/>
                <w:sz w:val="26"/>
                <w:szCs w:val="26"/>
                <w:rtl/>
              </w:rPr>
              <w:t>חבר שירות הפיקוח האזרחי יהיה מי שנתקבל לשירות הפיקוח האזרחי כמתנדב; השר יקבע כללים בדבר דרכי הקבלה, המינוי, ההכשרה, סיום החברות ודרכי פיקוח על ע</w:t>
            </w:r>
            <w:r>
              <w:rPr>
                <w:rFonts w:cs="David"/>
                <w:sz w:val="26"/>
                <w:szCs w:val="26"/>
                <w:rtl/>
              </w:rPr>
              <w:t>בודתם של חברי שירות הפיקוח האזרחי.</w:t>
            </w:r>
          </w:p>
        </w:tc>
      </w:tr>
      <w:tr w:rsidR="00000000">
        <w:tc>
          <w:tcPr>
            <w:tcW w:w="1168" w:type="dxa"/>
            <w:tcBorders>
              <w:top w:val="nil"/>
              <w:left w:val="nil"/>
              <w:bottom w:val="nil"/>
              <w:right w:val="nil"/>
            </w:tcBorders>
          </w:tcPr>
          <w:p w:rsidR="00000000" w:rsidRDefault="00B728EB">
            <w:pPr>
              <w:rPr>
                <w:rFonts w:cs="David"/>
                <w:sz w:val="26"/>
                <w:szCs w:val="26"/>
              </w:rPr>
            </w:pPr>
          </w:p>
        </w:tc>
        <w:tc>
          <w:tcPr>
            <w:tcW w:w="546" w:type="dxa"/>
            <w:tcBorders>
              <w:top w:val="nil"/>
              <w:left w:val="nil"/>
              <w:bottom w:val="nil"/>
              <w:right w:val="nil"/>
            </w:tcBorders>
          </w:tcPr>
          <w:p w:rsidR="00000000" w:rsidRDefault="00B728EB">
            <w:pPr>
              <w:spacing w:line="360" w:lineRule="auto"/>
              <w:rPr>
                <w:rFonts w:cs="David"/>
                <w:sz w:val="26"/>
                <w:szCs w:val="26"/>
              </w:rPr>
            </w:pPr>
          </w:p>
        </w:tc>
        <w:tc>
          <w:tcPr>
            <w:tcW w:w="927" w:type="dxa"/>
            <w:gridSpan w:val="2"/>
            <w:tcBorders>
              <w:top w:val="nil"/>
              <w:left w:val="nil"/>
              <w:bottom w:val="nil"/>
              <w:right w:val="nil"/>
            </w:tcBorders>
          </w:tcPr>
          <w:p w:rsidR="00000000" w:rsidRDefault="00B728EB">
            <w:pPr>
              <w:spacing w:line="360" w:lineRule="auto"/>
              <w:jc w:val="both"/>
              <w:rPr>
                <w:rFonts w:cs="David"/>
                <w:sz w:val="26"/>
                <w:szCs w:val="26"/>
              </w:rPr>
            </w:pPr>
          </w:p>
        </w:tc>
        <w:tc>
          <w:tcPr>
            <w:tcW w:w="530" w:type="dxa"/>
            <w:tcBorders>
              <w:top w:val="nil"/>
              <w:left w:val="nil"/>
              <w:bottom w:val="nil"/>
              <w:right w:val="nil"/>
            </w:tcBorders>
          </w:tcPr>
          <w:p w:rsidR="00000000" w:rsidRDefault="00B728EB">
            <w:pPr>
              <w:spacing w:line="360" w:lineRule="auto"/>
              <w:jc w:val="both"/>
              <w:rPr>
                <w:rFonts w:cs="David"/>
                <w:sz w:val="26"/>
                <w:szCs w:val="26"/>
              </w:rPr>
            </w:pPr>
          </w:p>
        </w:tc>
        <w:tc>
          <w:tcPr>
            <w:tcW w:w="566" w:type="dxa"/>
            <w:tcBorders>
              <w:top w:val="nil"/>
              <w:left w:val="nil"/>
              <w:bottom w:val="nil"/>
              <w:right w:val="nil"/>
            </w:tcBorders>
          </w:tcPr>
          <w:p w:rsidR="00000000" w:rsidRDefault="00B728EB">
            <w:pPr>
              <w:spacing w:line="360" w:lineRule="auto"/>
              <w:rPr>
                <w:rFonts w:cs="David"/>
                <w:sz w:val="26"/>
                <w:szCs w:val="26"/>
              </w:rPr>
            </w:pPr>
            <w:r>
              <w:rPr>
                <w:rFonts w:cs="David"/>
                <w:sz w:val="26"/>
                <w:szCs w:val="26"/>
                <w:rtl/>
              </w:rPr>
              <w:t>(ב)</w:t>
            </w:r>
          </w:p>
        </w:tc>
        <w:tc>
          <w:tcPr>
            <w:tcW w:w="4683" w:type="dxa"/>
            <w:gridSpan w:val="2"/>
            <w:tcBorders>
              <w:top w:val="nil"/>
              <w:left w:val="nil"/>
              <w:bottom w:val="nil"/>
              <w:right w:val="nil"/>
            </w:tcBorders>
          </w:tcPr>
          <w:p w:rsidR="00000000" w:rsidRDefault="00B728EB">
            <w:pPr>
              <w:spacing w:line="360" w:lineRule="auto"/>
              <w:jc w:val="both"/>
              <w:rPr>
                <w:rFonts w:cs="David"/>
                <w:sz w:val="26"/>
                <w:szCs w:val="26"/>
              </w:rPr>
            </w:pPr>
            <w:r>
              <w:rPr>
                <w:rFonts w:cs="David"/>
                <w:sz w:val="26"/>
                <w:szCs w:val="26"/>
                <w:rtl/>
              </w:rPr>
              <w:t xml:space="preserve">מנגנון שירות הפיקוח האזרחי יהיה מורכב </w:t>
            </w:r>
            <w:r>
              <w:rPr>
                <w:rFonts w:cs="David"/>
                <w:sz w:val="26"/>
                <w:szCs w:val="26"/>
                <w:rtl/>
              </w:rPr>
              <w:lastRenderedPageBreak/>
              <w:t xml:space="preserve">ממפקח עבודה אזרחי ראשי וממפקחי עבודה אזרחיים אזוריים, דרך כלל או לענפי פעולה מסוימים או לתפקידים מסוימים (להלן – מפקחים אזרחיים). </w:t>
            </w:r>
          </w:p>
        </w:tc>
      </w:tr>
      <w:tr w:rsidR="00000000">
        <w:tc>
          <w:tcPr>
            <w:tcW w:w="1168" w:type="dxa"/>
            <w:tcBorders>
              <w:top w:val="nil"/>
              <w:left w:val="nil"/>
              <w:bottom w:val="nil"/>
              <w:right w:val="nil"/>
            </w:tcBorders>
          </w:tcPr>
          <w:p w:rsidR="00000000" w:rsidRDefault="00B728EB">
            <w:pPr>
              <w:rPr>
                <w:rFonts w:cs="David"/>
                <w:sz w:val="26"/>
                <w:szCs w:val="26"/>
              </w:rPr>
            </w:pPr>
          </w:p>
        </w:tc>
        <w:tc>
          <w:tcPr>
            <w:tcW w:w="546" w:type="dxa"/>
            <w:tcBorders>
              <w:top w:val="nil"/>
              <w:left w:val="nil"/>
              <w:bottom w:val="nil"/>
              <w:right w:val="nil"/>
            </w:tcBorders>
          </w:tcPr>
          <w:p w:rsidR="00000000" w:rsidRDefault="00B728EB">
            <w:pPr>
              <w:spacing w:line="360" w:lineRule="auto"/>
              <w:rPr>
                <w:rFonts w:cs="David"/>
                <w:sz w:val="26"/>
                <w:szCs w:val="26"/>
              </w:rPr>
            </w:pPr>
          </w:p>
        </w:tc>
        <w:tc>
          <w:tcPr>
            <w:tcW w:w="927" w:type="dxa"/>
            <w:gridSpan w:val="2"/>
            <w:tcBorders>
              <w:top w:val="nil"/>
              <w:left w:val="nil"/>
              <w:bottom w:val="nil"/>
              <w:right w:val="nil"/>
            </w:tcBorders>
          </w:tcPr>
          <w:p w:rsidR="00000000" w:rsidRDefault="00B728EB">
            <w:pPr>
              <w:spacing w:line="360" w:lineRule="auto"/>
              <w:jc w:val="both"/>
              <w:rPr>
                <w:rFonts w:cs="David"/>
                <w:sz w:val="26"/>
                <w:szCs w:val="26"/>
              </w:rPr>
            </w:pPr>
            <w:r>
              <w:rPr>
                <w:rFonts w:cs="David"/>
                <w:sz w:val="26"/>
                <w:szCs w:val="26"/>
                <w:rtl/>
              </w:rPr>
              <w:t>מעמדו של מפקח אזרחי</w:t>
            </w:r>
          </w:p>
        </w:tc>
        <w:tc>
          <w:tcPr>
            <w:tcW w:w="530" w:type="dxa"/>
            <w:tcBorders>
              <w:top w:val="nil"/>
              <w:left w:val="nil"/>
              <w:bottom w:val="nil"/>
              <w:right w:val="nil"/>
            </w:tcBorders>
          </w:tcPr>
          <w:p w:rsidR="00000000" w:rsidRDefault="00B728EB">
            <w:pPr>
              <w:spacing w:line="360" w:lineRule="auto"/>
              <w:jc w:val="both"/>
              <w:rPr>
                <w:rFonts w:cs="David"/>
                <w:sz w:val="26"/>
                <w:szCs w:val="26"/>
              </w:rPr>
            </w:pPr>
            <w:r>
              <w:rPr>
                <w:rFonts w:cs="David"/>
                <w:sz w:val="26"/>
                <w:szCs w:val="26"/>
                <w:rtl/>
              </w:rPr>
              <w:t>8ט.</w:t>
            </w:r>
          </w:p>
        </w:tc>
        <w:tc>
          <w:tcPr>
            <w:tcW w:w="566" w:type="dxa"/>
            <w:tcBorders>
              <w:top w:val="nil"/>
              <w:left w:val="nil"/>
              <w:bottom w:val="nil"/>
              <w:right w:val="nil"/>
            </w:tcBorders>
          </w:tcPr>
          <w:p w:rsidR="00000000" w:rsidRDefault="00B728EB">
            <w:pPr>
              <w:spacing w:line="360" w:lineRule="auto"/>
              <w:rPr>
                <w:rFonts w:cs="David"/>
                <w:sz w:val="26"/>
                <w:szCs w:val="26"/>
              </w:rPr>
            </w:pPr>
            <w:r>
              <w:rPr>
                <w:rFonts w:cs="David"/>
                <w:sz w:val="26"/>
                <w:szCs w:val="26"/>
                <w:rtl/>
              </w:rPr>
              <w:t>(א)</w:t>
            </w:r>
          </w:p>
        </w:tc>
        <w:tc>
          <w:tcPr>
            <w:tcW w:w="4683" w:type="dxa"/>
            <w:gridSpan w:val="2"/>
            <w:tcBorders>
              <w:top w:val="nil"/>
              <w:left w:val="nil"/>
              <w:bottom w:val="nil"/>
              <w:right w:val="nil"/>
            </w:tcBorders>
          </w:tcPr>
          <w:p w:rsidR="00000000" w:rsidRDefault="00B728EB">
            <w:pPr>
              <w:spacing w:line="360" w:lineRule="auto"/>
              <w:jc w:val="both"/>
              <w:rPr>
                <w:rFonts w:cs="David"/>
                <w:sz w:val="26"/>
                <w:szCs w:val="26"/>
              </w:rPr>
            </w:pPr>
            <w:r>
              <w:rPr>
                <w:rFonts w:cs="David"/>
                <w:sz w:val="26"/>
                <w:szCs w:val="26"/>
                <w:rtl/>
              </w:rPr>
              <w:t>חובותיו וזכו</w:t>
            </w:r>
            <w:r>
              <w:rPr>
                <w:rFonts w:cs="David"/>
                <w:sz w:val="26"/>
                <w:szCs w:val="26"/>
                <w:rtl/>
              </w:rPr>
              <w:t>יותיו של מפקח אזרחי בשעת מילוי תפקידו יהיו כשל מפקח עבודה לפי הוראות חוק זה, בשינויים שיקבע השר בצו; הוראה זו באה להוסיף על כל חובה שהוטלה עליו וסמכות שניתנה לו בדין אחר, ולא לגרוע מהן.</w:t>
            </w:r>
          </w:p>
        </w:tc>
      </w:tr>
      <w:tr w:rsidR="00000000">
        <w:tc>
          <w:tcPr>
            <w:tcW w:w="1168" w:type="dxa"/>
            <w:tcBorders>
              <w:top w:val="nil"/>
              <w:left w:val="nil"/>
              <w:bottom w:val="nil"/>
              <w:right w:val="nil"/>
            </w:tcBorders>
          </w:tcPr>
          <w:p w:rsidR="00000000" w:rsidRDefault="00B728EB">
            <w:pPr>
              <w:rPr>
                <w:rFonts w:cs="David"/>
                <w:sz w:val="26"/>
                <w:szCs w:val="26"/>
              </w:rPr>
            </w:pPr>
          </w:p>
        </w:tc>
        <w:tc>
          <w:tcPr>
            <w:tcW w:w="546" w:type="dxa"/>
            <w:tcBorders>
              <w:top w:val="nil"/>
              <w:left w:val="nil"/>
              <w:bottom w:val="nil"/>
              <w:right w:val="nil"/>
            </w:tcBorders>
          </w:tcPr>
          <w:p w:rsidR="00000000" w:rsidRDefault="00B728EB">
            <w:pPr>
              <w:spacing w:line="360" w:lineRule="auto"/>
              <w:rPr>
                <w:rFonts w:cs="David"/>
                <w:sz w:val="26"/>
                <w:szCs w:val="26"/>
              </w:rPr>
            </w:pPr>
          </w:p>
        </w:tc>
        <w:tc>
          <w:tcPr>
            <w:tcW w:w="927" w:type="dxa"/>
            <w:gridSpan w:val="2"/>
            <w:tcBorders>
              <w:top w:val="nil"/>
              <w:left w:val="nil"/>
              <w:bottom w:val="nil"/>
              <w:right w:val="nil"/>
            </w:tcBorders>
          </w:tcPr>
          <w:p w:rsidR="00000000" w:rsidRDefault="00B728EB">
            <w:pPr>
              <w:spacing w:line="360" w:lineRule="auto"/>
              <w:jc w:val="both"/>
              <w:rPr>
                <w:rFonts w:cs="David"/>
                <w:sz w:val="26"/>
                <w:szCs w:val="26"/>
              </w:rPr>
            </w:pPr>
          </w:p>
        </w:tc>
        <w:tc>
          <w:tcPr>
            <w:tcW w:w="530" w:type="dxa"/>
            <w:tcBorders>
              <w:top w:val="nil"/>
              <w:left w:val="nil"/>
              <w:bottom w:val="nil"/>
              <w:right w:val="nil"/>
            </w:tcBorders>
          </w:tcPr>
          <w:p w:rsidR="00000000" w:rsidRDefault="00B728EB">
            <w:pPr>
              <w:spacing w:line="360" w:lineRule="auto"/>
              <w:jc w:val="both"/>
              <w:rPr>
                <w:rFonts w:cs="David"/>
                <w:sz w:val="26"/>
                <w:szCs w:val="26"/>
              </w:rPr>
            </w:pPr>
          </w:p>
        </w:tc>
        <w:tc>
          <w:tcPr>
            <w:tcW w:w="566" w:type="dxa"/>
            <w:tcBorders>
              <w:top w:val="nil"/>
              <w:left w:val="nil"/>
              <w:bottom w:val="nil"/>
              <w:right w:val="nil"/>
            </w:tcBorders>
          </w:tcPr>
          <w:p w:rsidR="00000000" w:rsidRDefault="00B728EB">
            <w:pPr>
              <w:spacing w:line="360" w:lineRule="auto"/>
              <w:rPr>
                <w:rFonts w:cs="David"/>
                <w:sz w:val="26"/>
                <w:szCs w:val="26"/>
              </w:rPr>
            </w:pPr>
            <w:r>
              <w:rPr>
                <w:rFonts w:cs="David"/>
                <w:sz w:val="26"/>
                <w:szCs w:val="26"/>
                <w:rtl/>
              </w:rPr>
              <w:t xml:space="preserve">(ב) </w:t>
            </w:r>
          </w:p>
        </w:tc>
        <w:tc>
          <w:tcPr>
            <w:tcW w:w="4683" w:type="dxa"/>
            <w:gridSpan w:val="2"/>
            <w:tcBorders>
              <w:top w:val="nil"/>
              <w:left w:val="nil"/>
              <w:bottom w:val="nil"/>
              <w:right w:val="nil"/>
            </w:tcBorders>
          </w:tcPr>
          <w:p w:rsidR="00000000" w:rsidRDefault="00B728EB">
            <w:pPr>
              <w:spacing w:line="360" w:lineRule="auto"/>
              <w:jc w:val="both"/>
              <w:rPr>
                <w:rFonts w:cs="David"/>
                <w:sz w:val="26"/>
                <w:szCs w:val="26"/>
              </w:rPr>
            </w:pPr>
            <w:r>
              <w:rPr>
                <w:rFonts w:cs="David"/>
                <w:sz w:val="26"/>
                <w:szCs w:val="26"/>
                <w:rtl/>
              </w:rPr>
              <w:t>מפקח אזרחי, למעט מפקח אזרחי ראשי, לא יהא זכאי לשכר בעד שירות</w:t>
            </w:r>
            <w:r>
              <w:rPr>
                <w:rFonts w:cs="David"/>
                <w:sz w:val="26"/>
                <w:szCs w:val="26"/>
                <w:rtl/>
              </w:rPr>
              <w:t xml:space="preserve">ו, אלא בתנאים, בסוגי תפקידים ובשיעורים שיקבע השר בתקנות, באישור שר האוצר וועדת העבודה הרווחה והבריאות של הכנסת. </w:t>
            </w:r>
          </w:p>
        </w:tc>
      </w:tr>
      <w:tr w:rsidR="00000000">
        <w:tc>
          <w:tcPr>
            <w:tcW w:w="1168" w:type="dxa"/>
            <w:tcBorders>
              <w:top w:val="nil"/>
              <w:left w:val="nil"/>
              <w:bottom w:val="nil"/>
              <w:right w:val="nil"/>
            </w:tcBorders>
          </w:tcPr>
          <w:p w:rsidR="00000000" w:rsidRDefault="00B728EB">
            <w:pPr>
              <w:rPr>
                <w:rFonts w:cs="David"/>
                <w:sz w:val="26"/>
                <w:szCs w:val="26"/>
              </w:rPr>
            </w:pPr>
          </w:p>
        </w:tc>
        <w:tc>
          <w:tcPr>
            <w:tcW w:w="546" w:type="dxa"/>
            <w:tcBorders>
              <w:top w:val="nil"/>
              <w:left w:val="nil"/>
              <w:bottom w:val="nil"/>
              <w:right w:val="nil"/>
            </w:tcBorders>
          </w:tcPr>
          <w:p w:rsidR="00000000" w:rsidRDefault="00B728EB">
            <w:pPr>
              <w:spacing w:line="360" w:lineRule="auto"/>
              <w:rPr>
                <w:rFonts w:cs="David"/>
                <w:sz w:val="26"/>
                <w:szCs w:val="26"/>
              </w:rPr>
            </w:pPr>
          </w:p>
        </w:tc>
        <w:tc>
          <w:tcPr>
            <w:tcW w:w="927" w:type="dxa"/>
            <w:gridSpan w:val="2"/>
            <w:tcBorders>
              <w:top w:val="nil"/>
              <w:left w:val="nil"/>
              <w:bottom w:val="nil"/>
              <w:right w:val="nil"/>
            </w:tcBorders>
          </w:tcPr>
          <w:p w:rsidR="00000000" w:rsidRDefault="00B728EB">
            <w:pPr>
              <w:spacing w:line="360" w:lineRule="auto"/>
              <w:jc w:val="both"/>
              <w:rPr>
                <w:rFonts w:cs="David"/>
                <w:sz w:val="26"/>
                <w:szCs w:val="26"/>
              </w:rPr>
            </w:pPr>
          </w:p>
        </w:tc>
        <w:tc>
          <w:tcPr>
            <w:tcW w:w="530" w:type="dxa"/>
            <w:tcBorders>
              <w:top w:val="nil"/>
              <w:left w:val="nil"/>
              <w:bottom w:val="nil"/>
              <w:right w:val="nil"/>
            </w:tcBorders>
          </w:tcPr>
          <w:p w:rsidR="00000000" w:rsidRDefault="00B728EB">
            <w:pPr>
              <w:spacing w:line="360" w:lineRule="auto"/>
              <w:jc w:val="both"/>
              <w:rPr>
                <w:rFonts w:cs="David"/>
                <w:sz w:val="26"/>
                <w:szCs w:val="26"/>
              </w:rPr>
            </w:pPr>
          </w:p>
        </w:tc>
        <w:tc>
          <w:tcPr>
            <w:tcW w:w="566" w:type="dxa"/>
            <w:tcBorders>
              <w:top w:val="nil"/>
              <w:left w:val="nil"/>
              <w:bottom w:val="nil"/>
              <w:right w:val="nil"/>
            </w:tcBorders>
          </w:tcPr>
          <w:p w:rsidR="00000000" w:rsidRDefault="00B728EB">
            <w:pPr>
              <w:spacing w:line="360" w:lineRule="auto"/>
              <w:rPr>
                <w:rFonts w:cs="David"/>
                <w:sz w:val="26"/>
                <w:szCs w:val="26"/>
              </w:rPr>
            </w:pPr>
            <w:r>
              <w:rPr>
                <w:rFonts w:cs="David"/>
                <w:sz w:val="26"/>
                <w:szCs w:val="26"/>
                <w:rtl/>
              </w:rPr>
              <w:t xml:space="preserve">(ג) </w:t>
            </w:r>
          </w:p>
        </w:tc>
        <w:tc>
          <w:tcPr>
            <w:tcW w:w="4683" w:type="dxa"/>
            <w:gridSpan w:val="2"/>
            <w:tcBorders>
              <w:top w:val="nil"/>
              <w:left w:val="nil"/>
              <w:bottom w:val="nil"/>
              <w:right w:val="nil"/>
            </w:tcBorders>
          </w:tcPr>
          <w:p w:rsidR="00000000" w:rsidRDefault="00B728EB">
            <w:pPr>
              <w:spacing w:line="360" w:lineRule="auto"/>
              <w:jc w:val="both"/>
              <w:rPr>
                <w:rFonts w:cs="David"/>
                <w:sz w:val="26"/>
                <w:szCs w:val="26"/>
              </w:rPr>
            </w:pPr>
            <w:r>
              <w:rPr>
                <w:rFonts w:cs="David"/>
                <w:sz w:val="26"/>
                <w:szCs w:val="26"/>
                <w:rtl/>
              </w:rPr>
              <w:t>לא ישולמו דמי ביטוח לפי חוק הביטוח הלאומי [נוסח משולב], התשנ"ה – 1995</w:t>
            </w:r>
            <w:r>
              <w:rPr>
                <w:rStyle w:val="aa"/>
                <w:rFonts w:cs="David"/>
                <w:sz w:val="26"/>
                <w:szCs w:val="26"/>
                <w:rtl/>
              </w:rPr>
              <w:footnoteReference w:id="3"/>
            </w:r>
            <w:r>
              <w:rPr>
                <w:rFonts w:cs="David"/>
                <w:sz w:val="26"/>
                <w:szCs w:val="26"/>
                <w:rtl/>
              </w:rPr>
              <w:t xml:space="preserve"> (להלן – חוק הביטוח הלאומי), בעד מפקח אז</w:t>
            </w:r>
            <w:r>
              <w:rPr>
                <w:rFonts w:cs="David"/>
                <w:sz w:val="26"/>
                <w:szCs w:val="26"/>
                <w:rtl/>
              </w:rPr>
              <w:t xml:space="preserve">רחי אשר איננו זכאי לשכר לפי סעיף קטן (ב). </w:t>
            </w:r>
          </w:p>
        </w:tc>
      </w:tr>
      <w:tr w:rsidR="00000000">
        <w:tc>
          <w:tcPr>
            <w:tcW w:w="1168" w:type="dxa"/>
            <w:tcBorders>
              <w:top w:val="nil"/>
              <w:left w:val="nil"/>
              <w:bottom w:val="nil"/>
              <w:right w:val="nil"/>
            </w:tcBorders>
          </w:tcPr>
          <w:p w:rsidR="00000000" w:rsidRDefault="00B728EB">
            <w:pPr>
              <w:rPr>
                <w:rFonts w:cs="David"/>
                <w:sz w:val="26"/>
                <w:szCs w:val="26"/>
              </w:rPr>
            </w:pPr>
          </w:p>
        </w:tc>
        <w:tc>
          <w:tcPr>
            <w:tcW w:w="546" w:type="dxa"/>
            <w:tcBorders>
              <w:top w:val="nil"/>
              <w:left w:val="nil"/>
              <w:bottom w:val="nil"/>
              <w:right w:val="nil"/>
            </w:tcBorders>
          </w:tcPr>
          <w:p w:rsidR="00000000" w:rsidRDefault="00B728EB">
            <w:pPr>
              <w:spacing w:line="360" w:lineRule="auto"/>
              <w:rPr>
                <w:rFonts w:cs="David"/>
                <w:sz w:val="26"/>
                <w:szCs w:val="26"/>
              </w:rPr>
            </w:pPr>
          </w:p>
        </w:tc>
        <w:tc>
          <w:tcPr>
            <w:tcW w:w="927" w:type="dxa"/>
            <w:gridSpan w:val="2"/>
            <w:tcBorders>
              <w:top w:val="nil"/>
              <w:left w:val="nil"/>
              <w:bottom w:val="nil"/>
              <w:right w:val="nil"/>
            </w:tcBorders>
          </w:tcPr>
          <w:p w:rsidR="00000000" w:rsidRDefault="00B728EB">
            <w:pPr>
              <w:spacing w:line="360" w:lineRule="auto"/>
              <w:jc w:val="both"/>
              <w:rPr>
                <w:rFonts w:cs="David"/>
                <w:sz w:val="26"/>
                <w:szCs w:val="26"/>
              </w:rPr>
            </w:pPr>
            <w:r>
              <w:rPr>
                <w:rFonts w:cs="David"/>
                <w:sz w:val="26"/>
                <w:szCs w:val="26"/>
                <w:rtl/>
              </w:rPr>
              <w:t>סמכויות מפקח אזרחי</w:t>
            </w:r>
          </w:p>
        </w:tc>
        <w:tc>
          <w:tcPr>
            <w:tcW w:w="530" w:type="dxa"/>
            <w:tcBorders>
              <w:top w:val="nil"/>
              <w:left w:val="nil"/>
              <w:bottom w:val="nil"/>
              <w:right w:val="nil"/>
            </w:tcBorders>
          </w:tcPr>
          <w:p w:rsidR="00000000" w:rsidRDefault="00B728EB">
            <w:pPr>
              <w:spacing w:line="360" w:lineRule="auto"/>
              <w:jc w:val="both"/>
              <w:rPr>
                <w:rFonts w:cs="David"/>
                <w:sz w:val="26"/>
                <w:szCs w:val="26"/>
              </w:rPr>
            </w:pPr>
            <w:r>
              <w:rPr>
                <w:rFonts w:cs="David"/>
                <w:sz w:val="26"/>
                <w:szCs w:val="26"/>
                <w:rtl/>
              </w:rPr>
              <w:t>8י.</w:t>
            </w:r>
          </w:p>
        </w:tc>
        <w:tc>
          <w:tcPr>
            <w:tcW w:w="5249" w:type="dxa"/>
            <w:gridSpan w:val="3"/>
            <w:tcBorders>
              <w:top w:val="nil"/>
              <w:left w:val="nil"/>
              <w:bottom w:val="nil"/>
              <w:right w:val="nil"/>
            </w:tcBorders>
          </w:tcPr>
          <w:p w:rsidR="00000000" w:rsidRDefault="00B728EB">
            <w:pPr>
              <w:spacing w:line="360" w:lineRule="auto"/>
              <w:jc w:val="both"/>
              <w:rPr>
                <w:rFonts w:cs="David"/>
                <w:sz w:val="26"/>
                <w:szCs w:val="26"/>
              </w:rPr>
            </w:pPr>
            <w:r>
              <w:rPr>
                <w:rFonts w:cs="David"/>
                <w:sz w:val="26"/>
                <w:szCs w:val="26"/>
                <w:rtl/>
              </w:rPr>
              <w:t xml:space="preserve">למפקח אזרחי יהיו הסמכויות הנתונות למפקח עבודה האמורות בסעיף 3(1), (4), (5), ו – (8) לחוק זה וכן הסמכויות הנתונות למפקח  שמונה לפי סעיף 18 לחוק שוויון ההזדמנויות. </w:t>
            </w:r>
          </w:p>
        </w:tc>
      </w:tr>
      <w:tr w:rsidR="00000000">
        <w:tc>
          <w:tcPr>
            <w:tcW w:w="1168" w:type="dxa"/>
            <w:tcBorders>
              <w:top w:val="nil"/>
              <w:left w:val="nil"/>
              <w:bottom w:val="nil"/>
              <w:right w:val="nil"/>
            </w:tcBorders>
          </w:tcPr>
          <w:p w:rsidR="00000000" w:rsidRDefault="00B728EB">
            <w:pPr>
              <w:rPr>
                <w:rFonts w:cs="David"/>
                <w:sz w:val="26"/>
                <w:szCs w:val="26"/>
              </w:rPr>
            </w:pPr>
          </w:p>
        </w:tc>
        <w:tc>
          <w:tcPr>
            <w:tcW w:w="546" w:type="dxa"/>
            <w:tcBorders>
              <w:top w:val="nil"/>
              <w:left w:val="nil"/>
              <w:bottom w:val="nil"/>
              <w:right w:val="nil"/>
            </w:tcBorders>
          </w:tcPr>
          <w:p w:rsidR="00000000" w:rsidRDefault="00B728EB">
            <w:pPr>
              <w:spacing w:line="360" w:lineRule="auto"/>
              <w:rPr>
                <w:rFonts w:cs="David"/>
                <w:sz w:val="26"/>
                <w:szCs w:val="26"/>
              </w:rPr>
            </w:pPr>
          </w:p>
        </w:tc>
        <w:tc>
          <w:tcPr>
            <w:tcW w:w="927" w:type="dxa"/>
            <w:gridSpan w:val="2"/>
            <w:tcBorders>
              <w:top w:val="nil"/>
              <w:left w:val="nil"/>
              <w:bottom w:val="nil"/>
              <w:right w:val="nil"/>
            </w:tcBorders>
          </w:tcPr>
          <w:p w:rsidR="00000000" w:rsidRDefault="00B728EB">
            <w:pPr>
              <w:spacing w:line="360" w:lineRule="auto"/>
              <w:jc w:val="both"/>
              <w:rPr>
                <w:rFonts w:cs="David"/>
                <w:sz w:val="26"/>
                <w:szCs w:val="26"/>
              </w:rPr>
            </w:pPr>
            <w:r>
              <w:rPr>
                <w:rFonts w:cs="David"/>
                <w:sz w:val="26"/>
                <w:szCs w:val="26"/>
                <w:rtl/>
              </w:rPr>
              <w:t>משמעת</w:t>
            </w:r>
          </w:p>
        </w:tc>
        <w:tc>
          <w:tcPr>
            <w:tcW w:w="530" w:type="dxa"/>
            <w:tcBorders>
              <w:top w:val="nil"/>
              <w:left w:val="nil"/>
              <w:bottom w:val="nil"/>
              <w:right w:val="nil"/>
            </w:tcBorders>
          </w:tcPr>
          <w:p w:rsidR="00000000" w:rsidRDefault="00B728EB">
            <w:pPr>
              <w:spacing w:line="360" w:lineRule="auto"/>
              <w:jc w:val="both"/>
              <w:rPr>
                <w:rFonts w:cs="David"/>
                <w:sz w:val="26"/>
                <w:szCs w:val="26"/>
              </w:rPr>
            </w:pPr>
            <w:r>
              <w:rPr>
                <w:rFonts w:cs="David"/>
                <w:sz w:val="26"/>
                <w:szCs w:val="26"/>
                <w:rtl/>
              </w:rPr>
              <w:t>8יא.</w:t>
            </w:r>
          </w:p>
        </w:tc>
        <w:tc>
          <w:tcPr>
            <w:tcW w:w="5249" w:type="dxa"/>
            <w:gridSpan w:val="3"/>
            <w:tcBorders>
              <w:top w:val="nil"/>
              <w:left w:val="nil"/>
              <w:bottom w:val="nil"/>
              <w:right w:val="nil"/>
            </w:tcBorders>
          </w:tcPr>
          <w:p w:rsidR="00000000" w:rsidRDefault="00B728EB">
            <w:pPr>
              <w:spacing w:line="360" w:lineRule="auto"/>
              <w:jc w:val="both"/>
              <w:rPr>
                <w:rFonts w:cs="David"/>
                <w:sz w:val="26"/>
                <w:szCs w:val="26"/>
              </w:rPr>
            </w:pPr>
            <w:r>
              <w:rPr>
                <w:rFonts w:cs="David"/>
                <w:sz w:val="26"/>
                <w:szCs w:val="26"/>
                <w:rtl/>
              </w:rPr>
              <w:t>על מפקח אז</w:t>
            </w:r>
            <w:r>
              <w:rPr>
                <w:rFonts w:cs="David"/>
                <w:sz w:val="26"/>
                <w:szCs w:val="26"/>
                <w:rtl/>
              </w:rPr>
              <w:t>רחי יחולו הוראות חוק שירות המדינה (משמעת), התשכ"ג – 1963</w:t>
            </w:r>
            <w:r>
              <w:rPr>
                <w:rStyle w:val="aa"/>
                <w:rFonts w:cs="David"/>
                <w:sz w:val="26"/>
                <w:szCs w:val="26"/>
                <w:rtl/>
              </w:rPr>
              <w:footnoteReference w:id="4"/>
            </w:r>
            <w:r>
              <w:rPr>
                <w:rFonts w:cs="David"/>
                <w:sz w:val="26"/>
                <w:szCs w:val="26"/>
                <w:rtl/>
              </w:rPr>
              <w:t xml:space="preserve">, בשינויים המחוייבים."  </w:t>
            </w:r>
          </w:p>
        </w:tc>
      </w:tr>
      <w:tr w:rsidR="00000000">
        <w:tc>
          <w:tcPr>
            <w:tcW w:w="1168" w:type="dxa"/>
            <w:tcBorders>
              <w:top w:val="nil"/>
              <w:left w:val="nil"/>
              <w:bottom w:val="nil"/>
              <w:right w:val="nil"/>
            </w:tcBorders>
          </w:tcPr>
          <w:p w:rsidR="00000000" w:rsidRDefault="00B728EB">
            <w:pPr>
              <w:rPr>
                <w:rFonts w:cs="David"/>
                <w:sz w:val="26"/>
                <w:szCs w:val="26"/>
              </w:rPr>
            </w:pPr>
            <w:r>
              <w:rPr>
                <w:rFonts w:cs="David"/>
                <w:sz w:val="26"/>
                <w:szCs w:val="26"/>
                <w:rtl/>
              </w:rPr>
              <w:t>תיקון סעיף 36</w:t>
            </w:r>
          </w:p>
        </w:tc>
        <w:tc>
          <w:tcPr>
            <w:tcW w:w="546" w:type="dxa"/>
            <w:tcBorders>
              <w:top w:val="nil"/>
              <w:left w:val="nil"/>
              <w:bottom w:val="nil"/>
              <w:right w:val="nil"/>
            </w:tcBorders>
          </w:tcPr>
          <w:p w:rsidR="00000000" w:rsidRDefault="00B728EB">
            <w:pPr>
              <w:spacing w:line="360" w:lineRule="auto"/>
              <w:rPr>
                <w:rFonts w:cs="David"/>
                <w:sz w:val="26"/>
                <w:szCs w:val="26"/>
              </w:rPr>
            </w:pPr>
            <w:r>
              <w:rPr>
                <w:rFonts w:cs="David"/>
                <w:sz w:val="26"/>
                <w:szCs w:val="26"/>
                <w:rtl/>
              </w:rPr>
              <w:t>2.</w:t>
            </w:r>
          </w:p>
        </w:tc>
        <w:tc>
          <w:tcPr>
            <w:tcW w:w="6706" w:type="dxa"/>
            <w:gridSpan w:val="6"/>
            <w:tcBorders>
              <w:top w:val="nil"/>
              <w:left w:val="nil"/>
              <w:bottom w:val="nil"/>
              <w:right w:val="nil"/>
            </w:tcBorders>
          </w:tcPr>
          <w:p w:rsidR="00000000" w:rsidRDefault="00B728EB">
            <w:pPr>
              <w:spacing w:line="360" w:lineRule="auto"/>
              <w:jc w:val="both"/>
              <w:rPr>
                <w:rFonts w:cs="David"/>
                <w:sz w:val="26"/>
                <w:szCs w:val="26"/>
              </w:rPr>
            </w:pPr>
            <w:r>
              <w:rPr>
                <w:rFonts w:cs="David"/>
                <w:sz w:val="26"/>
                <w:szCs w:val="26"/>
                <w:rtl/>
              </w:rPr>
              <w:t>בחוק העיקרי, בסעיף 36, בסעיף קטן (א), בכל מקום, אחרי "למפקח עבודה" יבוא "או למפקח אזרחי".</w:t>
            </w:r>
          </w:p>
        </w:tc>
      </w:tr>
      <w:tr w:rsidR="00000000">
        <w:trPr>
          <w:cantSplit/>
        </w:trPr>
        <w:tc>
          <w:tcPr>
            <w:tcW w:w="1168" w:type="dxa"/>
            <w:vMerge w:val="restart"/>
            <w:tcBorders>
              <w:top w:val="nil"/>
              <w:left w:val="nil"/>
              <w:bottom w:val="nil"/>
              <w:right w:val="nil"/>
            </w:tcBorders>
          </w:tcPr>
          <w:p w:rsidR="00000000" w:rsidRDefault="00B728EB">
            <w:pPr>
              <w:rPr>
                <w:rFonts w:cs="David"/>
                <w:sz w:val="26"/>
                <w:szCs w:val="26"/>
              </w:rPr>
            </w:pPr>
            <w:r>
              <w:rPr>
                <w:rFonts w:cs="David"/>
                <w:sz w:val="26"/>
                <w:szCs w:val="26"/>
                <w:rtl/>
              </w:rPr>
              <w:t>תיקון חוק הביטוח הלאומי</w:t>
            </w:r>
          </w:p>
        </w:tc>
        <w:tc>
          <w:tcPr>
            <w:tcW w:w="546" w:type="dxa"/>
            <w:tcBorders>
              <w:top w:val="nil"/>
              <w:left w:val="nil"/>
              <w:bottom w:val="nil"/>
              <w:right w:val="nil"/>
            </w:tcBorders>
          </w:tcPr>
          <w:p w:rsidR="00000000" w:rsidRDefault="00B728EB">
            <w:pPr>
              <w:spacing w:line="360" w:lineRule="auto"/>
              <w:rPr>
                <w:rFonts w:cs="David"/>
                <w:sz w:val="26"/>
                <w:szCs w:val="26"/>
              </w:rPr>
            </w:pPr>
            <w:r>
              <w:rPr>
                <w:rFonts w:cs="David"/>
                <w:sz w:val="26"/>
                <w:szCs w:val="26"/>
                <w:rtl/>
              </w:rPr>
              <w:t>3.</w:t>
            </w:r>
          </w:p>
        </w:tc>
        <w:tc>
          <w:tcPr>
            <w:tcW w:w="6706" w:type="dxa"/>
            <w:gridSpan w:val="6"/>
            <w:tcBorders>
              <w:top w:val="nil"/>
              <w:left w:val="nil"/>
              <w:bottom w:val="nil"/>
              <w:right w:val="nil"/>
            </w:tcBorders>
          </w:tcPr>
          <w:p w:rsidR="00000000" w:rsidRDefault="00B728EB">
            <w:pPr>
              <w:spacing w:line="360" w:lineRule="auto"/>
              <w:jc w:val="both"/>
              <w:rPr>
                <w:rFonts w:cs="David"/>
                <w:sz w:val="26"/>
                <w:szCs w:val="26"/>
              </w:rPr>
            </w:pPr>
            <w:r>
              <w:rPr>
                <w:rFonts w:cs="David"/>
                <w:sz w:val="26"/>
                <w:szCs w:val="26"/>
                <w:rtl/>
              </w:rPr>
              <w:t>בחוק הביטוח הלאו</w:t>
            </w:r>
            <w:r>
              <w:rPr>
                <w:rFonts w:cs="David"/>
                <w:sz w:val="26"/>
                <w:szCs w:val="26"/>
                <w:rtl/>
              </w:rPr>
              <w:t>מי, בסעיף 287, אחרי פסקה (9) יבוא:</w:t>
            </w:r>
          </w:p>
        </w:tc>
      </w:tr>
      <w:tr w:rsidR="00000000">
        <w:trPr>
          <w:cantSplit/>
        </w:trPr>
        <w:tc>
          <w:tcPr>
            <w:tcW w:w="1168" w:type="dxa"/>
            <w:vMerge/>
            <w:tcBorders>
              <w:top w:val="nil"/>
              <w:left w:val="nil"/>
              <w:bottom w:val="nil"/>
              <w:right w:val="nil"/>
            </w:tcBorders>
          </w:tcPr>
          <w:p w:rsidR="00000000" w:rsidRDefault="00B728EB">
            <w:pPr>
              <w:rPr>
                <w:rFonts w:cs="David"/>
                <w:sz w:val="26"/>
                <w:szCs w:val="26"/>
              </w:rPr>
            </w:pPr>
          </w:p>
        </w:tc>
        <w:tc>
          <w:tcPr>
            <w:tcW w:w="546" w:type="dxa"/>
            <w:tcBorders>
              <w:top w:val="nil"/>
              <w:left w:val="nil"/>
              <w:bottom w:val="nil"/>
              <w:right w:val="nil"/>
            </w:tcBorders>
          </w:tcPr>
          <w:p w:rsidR="00000000" w:rsidRDefault="00B728EB">
            <w:pPr>
              <w:spacing w:line="360" w:lineRule="auto"/>
              <w:rPr>
                <w:rFonts w:cs="David"/>
                <w:sz w:val="26"/>
                <w:szCs w:val="26"/>
              </w:rPr>
            </w:pPr>
          </w:p>
        </w:tc>
        <w:tc>
          <w:tcPr>
            <w:tcW w:w="567" w:type="dxa"/>
            <w:tcBorders>
              <w:top w:val="nil"/>
              <w:left w:val="nil"/>
              <w:bottom w:val="nil"/>
              <w:right w:val="nil"/>
            </w:tcBorders>
          </w:tcPr>
          <w:p w:rsidR="00000000" w:rsidRDefault="00B728EB">
            <w:pPr>
              <w:spacing w:line="360" w:lineRule="auto"/>
              <w:rPr>
                <w:rFonts w:cs="David"/>
                <w:sz w:val="26"/>
                <w:szCs w:val="26"/>
              </w:rPr>
            </w:pPr>
            <w:r>
              <w:rPr>
                <w:rFonts w:cs="David"/>
                <w:sz w:val="26"/>
                <w:szCs w:val="26"/>
                <w:rtl/>
              </w:rPr>
              <w:t>"(10)</w:t>
            </w:r>
          </w:p>
        </w:tc>
        <w:tc>
          <w:tcPr>
            <w:tcW w:w="6139" w:type="dxa"/>
            <w:gridSpan w:val="5"/>
            <w:tcBorders>
              <w:top w:val="nil"/>
              <w:left w:val="nil"/>
              <w:bottom w:val="nil"/>
              <w:right w:val="nil"/>
            </w:tcBorders>
          </w:tcPr>
          <w:p w:rsidR="00000000" w:rsidRDefault="00B728EB">
            <w:pPr>
              <w:spacing w:line="360" w:lineRule="auto"/>
              <w:jc w:val="both"/>
              <w:rPr>
                <w:rFonts w:cs="David"/>
                <w:sz w:val="26"/>
                <w:szCs w:val="26"/>
              </w:rPr>
            </w:pPr>
            <w:r>
              <w:rPr>
                <w:rFonts w:cs="David"/>
                <w:sz w:val="26"/>
                <w:szCs w:val="26"/>
                <w:rtl/>
              </w:rPr>
              <w:t>מפקח אזרחי, כמשמעותו בפרק ראשון1  לחוק ארגון הפיקוח על העבודה, התשי"ד–1954</w:t>
            </w:r>
            <w:r>
              <w:rPr>
                <w:rStyle w:val="aa"/>
                <w:rFonts w:cs="David"/>
                <w:sz w:val="26"/>
                <w:szCs w:val="26"/>
                <w:rtl/>
              </w:rPr>
              <w:footnoteReference w:id="5"/>
            </w:r>
            <w:r>
              <w:rPr>
                <w:rFonts w:cs="David"/>
                <w:sz w:val="26"/>
                <w:szCs w:val="26"/>
                <w:rtl/>
              </w:rPr>
              <w:t>, אשר איננו זכאי לשכר."</w:t>
            </w:r>
          </w:p>
        </w:tc>
      </w:tr>
    </w:tbl>
    <w:p w:rsidR="00000000" w:rsidRDefault="00B728EB">
      <w:pPr>
        <w:spacing w:line="360" w:lineRule="auto"/>
        <w:jc w:val="center"/>
        <w:rPr>
          <w:rFonts w:cs="David"/>
          <w:sz w:val="26"/>
          <w:szCs w:val="26"/>
          <w:rtl/>
        </w:rPr>
      </w:pPr>
    </w:p>
    <w:p w:rsidR="00000000" w:rsidRDefault="00B728EB">
      <w:pPr>
        <w:spacing w:line="360" w:lineRule="auto"/>
        <w:jc w:val="center"/>
        <w:rPr>
          <w:rFonts w:cs="David"/>
          <w:sz w:val="26"/>
          <w:szCs w:val="26"/>
          <w:rtl/>
        </w:rPr>
      </w:pPr>
    </w:p>
    <w:p w:rsidR="00000000" w:rsidRDefault="00B728EB">
      <w:pPr>
        <w:spacing w:line="360" w:lineRule="auto"/>
        <w:jc w:val="center"/>
        <w:rPr>
          <w:rFonts w:cs="David"/>
          <w:sz w:val="26"/>
          <w:szCs w:val="26"/>
          <w:rtl/>
        </w:rPr>
      </w:pPr>
    </w:p>
    <w:p w:rsidR="00000000" w:rsidRDefault="00B728EB">
      <w:pPr>
        <w:spacing w:line="360" w:lineRule="auto"/>
        <w:jc w:val="center"/>
        <w:rPr>
          <w:rFonts w:cs="David"/>
          <w:b/>
          <w:bCs/>
          <w:sz w:val="28"/>
          <w:szCs w:val="28"/>
          <w:u w:val="single"/>
          <w:rtl/>
        </w:rPr>
      </w:pPr>
    </w:p>
    <w:p w:rsidR="00000000" w:rsidRDefault="00B728EB">
      <w:pPr>
        <w:spacing w:line="360" w:lineRule="auto"/>
        <w:jc w:val="center"/>
        <w:rPr>
          <w:rFonts w:cs="David"/>
          <w:sz w:val="26"/>
          <w:szCs w:val="26"/>
          <w:rtl/>
        </w:rPr>
      </w:pPr>
      <w:r>
        <w:rPr>
          <w:rFonts w:cs="David"/>
          <w:b/>
          <w:bCs/>
          <w:sz w:val="28"/>
          <w:szCs w:val="28"/>
          <w:u w:val="single"/>
          <w:rtl/>
        </w:rPr>
        <w:t>דברי - הסבר</w:t>
      </w:r>
    </w:p>
    <w:p w:rsidR="00000000" w:rsidRDefault="00B728EB">
      <w:pPr>
        <w:spacing w:line="360" w:lineRule="auto"/>
        <w:jc w:val="both"/>
        <w:rPr>
          <w:rFonts w:cs="David"/>
          <w:sz w:val="26"/>
          <w:szCs w:val="26"/>
          <w:rtl/>
        </w:rPr>
      </w:pPr>
    </w:p>
    <w:p w:rsidR="00000000" w:rsidRDefault="00B728EB">
      <w:pPr>
        <w:spacing w:line="360" w:lineRule="auto"/>
        <w:jc w:val="both"/>
        <w:rPr>
          <w:rFonts w:cs="David"/>
          <w:sz w:val="26"/>
          <w:szCs w:val="26"/>
          <w:rtl/>
        </w:rPr>
      </w:pPr>
      <w:r>
        <w:rPr>
          <w:rFonts w:cs="David"/>
          <w:sz w:val="26"/>
          <w:szCs w:val="26"/>
          <w:rtl/>
        </w:rPr>
        <w:t>מוצע להקים שירות פיקוח אזרחי שיפעל לצד שירות הפיקוח הקיים במשרד התעשייה</w:t>
      </w:r>
      <w:r>
        <w:rPr>
          <w:rFonts w:cs="David"/>
          <w:sz w:val="26"/>
          <w:szCs w:val="26"/>
          <w:rtl/>
        </w:rPr>
        <w:t xml:space="preserve"> המסחר והתעסוקה, על מנת שיסייע בידי המפקחים בשירות הפיקוח על העבודה באכיפת חוקי העבודה, זאת בדומה למשמר האזרחי הפועל לצד משטרת ישראל.</w:t>
      </w:r>
    </w:p>
    <w:p w:rsidR="00000000" w:rsidRDefault="00B728EB">
      <w:pPr>
        <w:spacing w:line="360" w:lineRule="auto"/>
        <w:jc w:val="both"/>
        <w:rPr>
          <w:rFonts w:cs="David"/>
          <w:sz w:val="26"/>
          <w:szCs w:val="26"/>
          <w:rtl/>
        </w:rPr>
      </w:pPr>
      <w:r>
        <w:rPr>
          <w:rFonts w:cs="David"/>
          <w:sz w:val="26"/>
          <w:szCs w:val="26"/>
          <w:rtl/>
        </w:rPr>
        <w:t>בשנים האחרונות קיימת מצוקת כוח אדם באגף האכיפה של משרד התעשייה המסחר והתעסוקה האחראי לאכיפתם ולקיומם של חוקים מתחום העבודה</w:t>
      </w:r>
      <w:r>
        <w:rPr>
          <w:rFonts w:cs="David"/>
          <w:sz w:val="26"/>
          <w:szCs w:val="26"/>
          <w:rtl/>
        </w:rPr>
        <w:t>. עקב כך, מתגלים קשיים רבים באכיפת חוקים אלו על ידי המדינה וכתוצאה מכך נפגעת ההרתעה העומדת בבסיס הפיקוח, שמטרתו להגן על הזכויות הבסיסיות של ציבור העובדים בישראל, הקבועות  בחוקי המגן במשפט העבודה.</w:t>
      </w:r>
    </w:p>
    <w:p w:rsidR="00000000" w:rsidRDefault="00B728EB">
      <w:pPr>
        <w:spacing w:line="360" w:lineRule="auto"/>
        <w:jc w:val="both"/>
        <w:rPr>
          <w:rFonts w:cs="David"/>
          <w:sz w:val="26"/>
          <w:szCs w:val="26"/>
          <w:rtl/>
        </w:rPr>
      </w:pPr>
    </w:p>
    <w:p w:rsidR="00000000" w:rsidRDefault="00B728EB">
      <w:pPr>
        <w:pStyle w:val="ab"/>
        <w:spacing w:line="360" w:lineRule="auto"/>
        <w:rPr>
          <w:rFonts w:cs="David"/>
          <w:rtl/>
        </w:rPr>
      </w:pPr>
      <w:r>
        <w:rPr>
          <w:rFonts w:cs="David"/>
          <w:rtl/>
        </w:rPr>
        <w:t>על מנת לסייע באכיפה זו, מוצע להקים שירות פיקוח אזרחי, שיהיה</w:t>
      </w:r>
      <w:r>
        <w:rPr>
          <w:rFonts w:cs="David"/>
          <w:rtl/>
        </w:rPr>
        <w:t xml:space="preserve"> מורכב ממתנדבים, שיוסמכו לסייע למפקחי העבודה בפיקוח על החוקים שהשירות אחראי כיום   על פיקוחם לפי חוק ארגון הפיקוח על העבודה.</w:t>
      </w:r>
    </w:p>
    <w:p w:rsidR="00000000" w:rsidRDefault="00B728EB">
      <w:pPr>
        <w:spacing w:line="360" w:lineRule="auto"/>
        <w:jc w:val="both"/>
        <w:rPr>
          <w:rFonts w:cs="David"/>
          <w:sz w:val="26"/>
          <w:szCs w:val="26"/>
          <w:rtl/>
        </w:rPr>
      </w:pPr>
    </w:p>
    <w:p w:rsidR="00000000" w:rsidRDefault="00B728EB">
      <w:pPr>
        <w:spacing w:line="360" w:lineRule="auto"/>
        <w:jc w:val="both"/>
        <w:rPr>
          <w:rFonts w:cs="David"/>
          <w:sz w:val="26"/>
          <w:szCs w:val="26"/>
          <w:rtl/>
        </w:rPr>
      </w:pPr>
      <w:r>
        <w:rPr>
          <w:rFonts w:cs="David"/>
          <w:sz w:val="26"/>
          <w:szCs w:val="26"/>
          <w:rtl/>
        </w:rPr>
        <w:t>חוקים אלו כוללים כיום את:</w:t>
      </w:r>
    </w:p>
    <w:p w:rsidR="00000000" w:rsidRDefault="00B728EB">
      <w:pPr>
        <w:spacing w:line="360" w:lineRule="auto"/>
        <w:jc w:val="both"/>
        <w:rPr>
          <w:rFonts w:cs="David"/>
          <w:sz w:val="26"/>
          <w:szCs w:val="26"/>
          <w:rtl/>
        </w:rPr>
      </w:pPr>
    </w:p>
    <w:p w:rsidR="00000000" w:rsidRDefault="00B728EB">
      <w:pPr>
        <w:spacing w:line="360" w:lineRule="auto"/>
        <w:jc w:val="both"/>
        <w:rPr>
          <w:rFonts w:cs="David"/>
          <w:sz w:val="26"/>
          <w:szCs w:val="26"/>
          <w:rtl/>
        </w:rPr>
      </w:pPr>
      <w:r>
        <w:rPr>
          <w:rFonts w:cs="David"/>
          <w:sz w:val="26"/>
          <w:szCs w:val="26"/>
          <w:rtl/>
        </w:rPr>
        <w:t>חוק שעות עבודה ומנוחה, התשי"א – 1951.</w:t>
      </w:r>
    </w:p>
    <w:p w:rsidR="00000000" w:rsidRDefault="00B728EB">
      <w:pPr>
        <w:spacing w:line="360" w:lineRule="auto"/>
        <w:jc w:val="both"/>
        <w:rPr>
          <w:rFonts w:cs="David"/>
          <w:sz w:val="26"/>
          <w:szCs w:val="26"/>
          <w:rtl/>
        </w:rPr>
      </w:pPr>
      <w:r>
        <w:rPr>
          <w:rFonts w:cs="David"/>
          <w:sz w:val="26"/>
          <w:szCs w:val="26"/>
          <w:rtl/>
        </w:rPr>
        <w:t>חוק חופשה שנתית, התשי"א – 1951.</w:t>
      </w:r>
    </w:p>
    <w:p w:rsidR="00000000" w:rsidRDefault="00B728EB">
      <w:pPr>
        <w:spacing w:line="360" w:lineRule="auto"/>
        <w:jc w:val="both"/>
        <w:rPr>
          <w:rFonts w:cs="David"/>
          <w:sz w:val="26"/>
          <w:szCs w:val="26"/>
          <w:rtl/>
        </w:rPr>
      </w:pPr>
      <w:r>
        <w:rPr>
          <w:rFonts w:cs="David"/>
          <w:sz w:val="26"/>
          <w:szCs w:val="26"/>
          <w:rtl/>
        </w:rPr>
        <w:t xml:space="preserve">חוק עבודת הנוער, התשי"ז – 1953. </w:t>
      </w:r>
    </w:p>
    <w:p w:rsidR="00000000" w:rsidRDefault="00B728EB">
      <w:pPr>
        <w:spacing w:line="360" w:lineRule="auto"/>
        <w:jc w:val="both"/>
        <w:rPr>
          <w:rFonts w:cs="David"/>
          <w:sz w:val="26"/>
          <w:szCs w:val="26"/>
          <w:rtl/>
        </w:rPr>
      </w:pPr>
      <w:r>
        <w:rPr>
          <w:rFonts w:cs="David"/>
          <w:sz w:val="26"/>
          <w:szCs w:val="26"/>
          <w:rtl/>
        </w:rPr>
        <w:t>חוק עבודת נשים, התשי"ד – 1954.</w:t>
      </w:r>
    </w:p>
    <w:p w:rsidR="00000000" w:rsidRDefault="00B728EB">
      <w:pPr>
        <w:spacing w:line="360" w:lineRule="auto"/>
        <w:jc w:val="both"/>
        <w:rPr>
          <w:rFonts w:cs="David"/>
          <w:sz w:val="26"/>
          <w:szCs w:val="26"/>
          <w:rtl/>
        </w:rPr>
      </w:pPr>
      <w:r>
        <w:rPr>
          <w:rFonts w:cs="David"/>
          <w:sz w:val="26"/>
          <w:szCs w:val="26"/>
          <w:rtl/>
        </w:rPr>
        <w:t>חוק שכר מינימום, התשמ"ז – 1987.</w:t>
      </w:r>
    </w:p>
    <w:p w:rsidR="00000000" w:rsidRDefault="00B728EB">
      <w:pPr>
        <w:spacing w:line="360" w:lineRule="auto"/>
        <w:jc w:val="both"/>
        <w:rPr>
          <w:rFonts w:cs="David"/>
          <w:sz w:val="26"/>
          <w:szCs w:val="26"/>
          <w:rtl/>
        </w:rPr>
      </w:pPr>
    </w:p>
    <w:p w:rsidR="00000000" w:rsidRDefault="00B728EB">
      <w:pPr>
        <w:spacing w:line="360" w:lineRule="auto"/>
        <w:jc w:val="both"/>
        <w:rPr>
          <w:rFonts w:cs="David"/>
          <w:sz w:val="26"/>
          <w:szCs w:val="26"/>
          <w:rtl/>
        </w:rPr>
      </w:pPr>
      <w:r>
        <w:rPr>
          <w:rFonts w:cs="David"/>
          <w:sz w:val="26"/>
          <w:szCs w:val="26"/>
          <w:rtl/>
        </w:rPr>
        <w:t xml:space="preserve">מוצע כי בנוסף לחוקים האמורים, למפקחי העבודה האזרחיים תינתן סמכות לפקח גם על אכיפת חוקים הנאכפים כיום בידי מפקחים שמונו לפי חוק שוויון ההזדמנויות בעבודה, התשמ"ח – 1988. </w:t>
      </w:r>
    </w:p>
    <w:p w:rsidR="00000000" w:rsidRDefault="00B728EB">
      <w:pPr>
        <w:spacing w:line="360" w:lineRule="auto"/>
        <w:jc w:val="both"/>
        <w:rPr>
          <w:rFonts w:cs="David"/>
          <w:sz w:val="26"/>
          <w:szCs w:val="26"/>
          <w:rtl/>
        </w:rPr>
      </w:pPr>
    </w:p>
    <w:p w:rsidR="00000000" w:rsidRDefault="00B728EB">
      <w:pPr>
        <w:spacing w:line="360" w:lineRule="auto"/>
        <w:jc w:val="both"/>
        <w:rPr>
          <w:rFonts w:cs="David"/>
          <w:sz w:val="26"/>
          <w:szCs w:val="26"/>
          <w:rtl/>
        </w:rPr>
      </w:pPr>
      <w:r>
        <w:rPr>
          <w:rFonts w:cs="David"/>
          <w:sz w:val="26"/>
          <w:szCs w:val="26"/>
          <w:rtl/>
        </w:rPr>
        <w:t>חוקים אלו כוללים את:</w:t>
      </w:r>
    </w:p>
    <w:p w:rsidR="00000000" w:rsidRDefault="00B728EB">
      <w:pPr>
        <w:spacing w:line="360" w:lineRule="auto"/>
        <w:jc w:val="both"/>
        <w:rPr>
          <w:rFonts w:cs="David"/>
          <w:sz w:val="26"/>
          <w:szCs w:val="26"/>
          <w:rtl/>
        </w:rPr>
      </w:pPr>
    </w:p>
    <w:p w:rsidR="00000000" w:rsidRDefault="00B728EB">
      <w:pPr>
        <w:spacing w:line="360" w:lineRule="auto"/>
        <w:jc w:val="both"/>
        <w:rPr>
          <w:rFonts w:cs="David"/>
          <w:sz w:val="26"/>
          <w:szCs w:val="26"/>
          <w:rtl/>
        </w:rPr>
      </w:pPr>
      <w:r>
        <w:rPr>
          <w:rFonts w:cs="David"/>
          <w:sz w:val="26"/>
          <w:szCs w:val="26"/>
          <w:rtl/>
        </w:rPr>
        <w:t>חוק שוויון ההזדמנויות בעבודה, התשמ"ח – 1988.</w:t>
      </w:r>
    </w:p>
    <w:p w:rsidR="00000000" w:rsidRDefault="00B728EB">
      <w:pPr>
        <w:spacing w:line="360" w:lineRule="auto"/>
        <w:jc w:val="both"/>
        <w:rPr>
          <w:rFonts w:cs="David"/>
          <w:sz w:val="26"/>
          <w:szCs w:val="26"/>
          <w:rtl/>
        </w:rPr>
      </w:pPr>
      <w:r>
        <w:rPr>
          <w:rFonts w:cs="David"/>
          <w:sz w:val="26"/>
          <w:szCs w:val="26"/>
          <w:rtl/>
        </w:rPr>
        <w:t>חוק למניעת הטרדה מינית, התשנ"ח – 1998.</w:t>
      </w:r>
    </w:p>
    <w:p w:rsidR="00000000" w:rsidRDefault="00B728EB">
      <w:pPr>
        <w:spacing w:line="360" w:lineRule="auto"/>
        <w:jc w:val="both"/>
        <w:rPr>
          <w:rFonts w:cs="David"/>
          <w:sz w:val="26"/>
          <w:szCs w:val="26"/>
          <w:rtl/>
        </w:rPr>
      </w:pPr>
      <w:r>
        <w:rPr>
          <w:rFonts w:cs="David"/>
          <w:sz w:val="26"/>
          <w:szCs w:val="26"/>
          <w:rtl/>
        </w:rPr>
        <w:t xml:space="preserve">חוק שוויון זכויות לאנשים עם מוגבלות, התשנ"ח  - 1998.  </w:t>
      </w:r>
    </w:p>
    <w:p w:rsidR="00000000" w:rsidRDefault="00B728EB">
      <w:pPr>
        <w:spacing w:line="360" w:lineRule="auto"/>
        <w:jc w:val="both"/>
        <w:rPr>
          <w:rFonts w:cs="David"/>
          <w:sz w:val="26"/>
          <w:szCs w:val="26"/>
          <w:rtl/>
        </w:rPr>
      </w:pPr>
    </w:p>
    <w:p w:rsidR="00000000" w:rsidRDefault="00B728EB">
      <w:pPr>
        <w:spacing w:line="360" w:lineRule="auto"/>
        <w:jc w:val="both"/>
        <w:rPr>
          <w:rFonts w:cs="David"/>
          <w:sz w:val="26"/>
          <w:szCs w:val="26"/>
          <w:rtl/>
        </w:rPr>
      </w:pPr>
      <w:r>
        <w:rPr>
          <w:rFonts w:cs="David"/>
          <w:sz w:val="26"/>
          <w:szCs w:val="26"/>
          <w:rtl/>
        </w:rPr>
        <w:t>מוצע להקים שירות פיקוח אזרחי אשר חבריו ימונו, יוכשרו ויוסמכו על פי כללים שיקבע השר. בתקנות גם ייקבעו כללים בדבר סיום</w:t>
      </w:r>
      <w:r>
        <w:rPr>
          <w:rFonts w:cs="David"/>
          <w:sz w:val="26"/>
          <w:szCs w:val="26"/>
          <w:rtl/>
        </w:rPr>
        <w:t xml:space="preserve"> החברות והפיקוח על שירות הפיקוח האזרחי.</w:t>
      </w:r>
    </w:p>
    <w:p w:rsidR="00000000" w:rsidRDefault="00B728EB">
      <w:pPr>
        <w:spacing w:line="360" w:lineRule="auto"/>
        <w:jc w:val="both"/>
        <w:rPr>
          <w:rFonts w:cs="David"/>
          <w:sz w:val="26"/>
          <w:szCs w:val="26"/>
          <w:rtl/>
        </w:rPr>
      </w:pPr>
    </w:p>
    <w:p w:rsidR="00000000" w:rsidRDefault="00B728EB">
      <w:pPr>
        <w:spacing w:line="360" w:lineRule="auto"/>
        <w:jc w:val="both"/>
        <w:rPr>
          <w:rFonts w:cs="David"/>
          <w:sz w:val="26"/>
          <w:szCs w:val="26"/>
          <w:rtl/>
        </w:rPr>
      </w:pPr>
      <w:r>
        <w:rPr>
          <w:rFonts w:cs="David"/>
          <w:sz w:val="26"/>
          <w:szCs w:val="26"/>
          <w:rtl/>
        </w:rPr>
        <w:t>כמו כן הצעת החוק מסדירה את מעמדו של המפקח האזרחי, המשמעת שתוטל עליו, הסמכויות שיינתנו לו לצורך ביצוע תפקידו, והענישה שתוטל על מי שמפריע לו בעבודתו.</w:t>
      </w:r>
    </w:p>
    <w:p w:rsidR="00000000" w:rsidRDefault="00B728EB">
      <w:pPr>
        <w:spacing w:line="360" w:lineRule="auto"/>
        <w:jc w:val="both"/>
        <w:rPr>
          <w:rFonts w:cs="David"/>
          <w:sz w:val="26"/>
          <w:szCs w:val="26"/>
          <w:rtl/>
        </w:rPr>
      </w:pPr>
    </w:p>
    <w:p w:rsidR="00000000" w:rsidRDefault="00B728EB">
      <w:pPr>
        <w:spacing w:line="360" w:lineRule="auto"/>
        <w:jc w:val="both"/>
        <w:rPr>
          <w:rFonts w:cs="David"/>
          <w:sz w:val="26"/>
          <w:szCs w:val="26"/>
          <w:rtl/>
        </w:rPr>
      </w:pPr>
      <w:r>
        <w:rPr>
          <w:rFonts w:cs="David"/>
          <w:sz w:val="26"/>
          <w:szCs w:val="26"/>
          <w:rtl/>
        </w:rPr>
        <w:t>בנוסף, מוצע לתקן את חוק הביטוח הלאומי ולהקנות למפקח האזרחי מעמד של</w:t>
      </w:r>
      <w:r>
        <w:rPr>
          <w:rFonts w:cs="David"/>
          <w:sz w:val="26"/>
          <w:szCs w:val="26"/>
          <w:rtl/>
        </w:rPr>
        <w:t xml:space="preserve"> מתנדב אשר יזכה אותו בתגמול לפי פרק מתנדבים אם ייפגע במהלך ההתנדבות בשירות הפיקוח האזרחי.</w:t>
      </w:r>
    </w:p>
    <w:p w:rsidR="00000000" w:rsidRDefault="00B728EB">
      <w:pPr>
        <w:spacing w:line="360" w:lineRule="auto"/>
        <w:jc w:val="both"/>
        <w:rPr>
          <w:rFonts w:cs="David"/>
          <w:sz w:val="26"/>
          <w:szCs w:val="26"/>
          <w:rtl/>
        </w:rPr>
      </w:pPr>
    </w:p>
    <w:p w:rsidR="00000000" w:rsidRDefault="00B728EB">
      <w:pPr>
        <w:spacing w:line="360" w:lineRule="auto"/>
        <w:jc w:val="both"/>
        <w:rPr>
          <w:rFonts w:cs="David"/>
          <w:sz w:val="26"/>
          <w:szCs w:val="26"/>
          <w:rtl/>
        </w:rPr>
      </w:pPr>
    </w:p>
    <w:p w:rsidR="00000000" w:rsidRDefault="00B728EB">
      <w:pPr>
        <w:spacing w:line="360" w:lineRule="auto"/>
        <w:rPr>
          <w:rFonts w:cs="David"/>
          <w:sz w:val="26"/>
          <w:szCs w:val="26"/>
          <w:rtl/>
        </w:rPr>
      </w:pPr>
      <w:r>
        <w:rPr>
          <w:rFonts w:cs="David"/>
          <w:sz w:val="26"/>
          <w:szCs w:val="26"/>
          <w:rtl/>
        </w:rPr>
        <w:t xml:space="preserve">הצעת חוק זהה הונחה על שולחן הכנסת השש-עשרה על ידי חבר הכנסת </w:t>
      </w:r>
      <w:bookmarkStart w:id="1" w:name="MisHatzaatChok"/>
      <w:r>
        <w:rPr>
          <w:rFonts w:cs="David"/>
          <w:sz w:val="26"/>
          <w:szCs w:val="26"/>
          <w:rtl/>
        </w:rPr>
        <w:t>שאול יהלום (פ/1278</w:t>
      </w:r>
      <w:bookmarkEnd w:id="1"/>
      <w:r>
        <w:rPr>
          <w:rFonts w:cs="David"/>
          <w:sz w:val="26"/>
          <w:szCs w:val="26"/>
          <w:rtl/>
        </w:rPr>
        <w:t>).</w:t>
      </w:r>
    </w:p>
    <w:p w:rsidR="00000000" w:rsidRDefault="00B728EB">
      <w:pPr>
        <w:spacing w:line="360" w:lineRule="auto"/>
        <w:jc w:val="both"/>
        <w:rPr>
          <w:rFonts w:cs="David"/>
          <w:sz w:val="26"/>
          <w:szCs w:val="26"/>
          <w:rtl/>
        </w:rPr>
      </w:pPr>
    </w:p>
    <w:p w:rsidR="00000000" w:rsidRDefault="00B728EB">
      <w:pPr>
        <w:pStyle w:val="a3"/>
        <w:spacing w:line="360" w:lineRule="auto"/>
        <w:jc w:val="left"/>
        <w:rPr>
          <w:rFonts w:cs="David"/>
          <w:u w:val="none"/>
          <w:rtl/>
        </w:rPr>
      </w:pPr>
    </w:p>
    <w:p w:rsidR="00000000" w:rsidRDefault="00B728EB">
      <w:pPr>
        <w:pStyle w:val="a3"/>
        <w:spacing w:line="360" w:lineRule="auto"/>
        <w:jc w:val="left"/>
        <w:rPr>
          <w:rFonts w:cs="David"/>
          <w:b w:val="0"/>
          <w:bCs w:val="0"/>
          <w:sz w:val="26"/>
          <w:szCs w:val="26"/>
          <w:u w:val="none"/>
          <w:rtl/>
        </w:rPr>
      </w:pPr>
      <w:r>
        <w:rPr>
          <w:rFonts w:cs="David"/>
          <w:b w:val="0"/>
          <w:bCs w:val="0"/>
          <w:sz w:val="26"/>
          <w:szCs w:val="26"/>
          <w:u w:val="none"/>
          <w:rtl/>
        </w:rPr>
        <w:t>---------------------------------</w:t>
      </w:r>
    </w:p>
    <w:p w:rsidR="00000000" w:rsidRDefault="00B728EB">
      <w:pPr>
        <w:pStyle w:val="a3"/>
        <w:spacing w:line="360" w:lineRule="auto"/>
        <w:jc w:val="left"/>
        <w:rPr>
          <w:rFonts w:cs="David"/>
          <w:b w:val="0"/>
          <w:bCs w:val="0"/>
          <w:sz w:val="26"/>
          <w:szCs w:val="26"/>
          <w:u w:val="none"/>
          <w:rtl/>
        </w:rPr>
      </w:pPr>
      <w:r>
        <w:rPr>
          <w:rFonts w:cs="David"/>
          <w:b w:val="0"/>
          <w:bCs w:val="0"/>
          <w:sz w:val="26"/>
          <w:szCs w:val="26"/>
          <w:u w:val="none"/>
          <w:rtl/>
        </w:rPr>
        <w:t>הוגשה ליו"ר הכנסת ו</w:t>
      </w:r>
      <w:r>
        <w:rPr>
          <w:rFonts w:cs="David"/>
          <w:b w:val="0"/>
          <w:bCs w:val="0"/>
          <w:sz w:val="26"/>
          <w:szCs w:val="26"/>
          <w:u w:val="none"/>
          <w:rtl/>
        </w:rPr>
        <w:t>הסגנים</w:t>
      </w:r>
    </w:p>
    <w:p w:rsidR="00000000" w:rsidRDefault="00B728EB">
      <w:pPr>
        <w:pStyle w:val="a3"/>
        <w:spacing w:line="360" w:lineRule="auto"/>
        <w:jc w:val="left"/>
        <w:rPr>
          <w:rFonts w:cs="David"/>
          <w:b w:val="0"/>
          <w:bCs w:val="0"/>
          <w:sz w:val="26"/>
          <w:szCs w:val="26"/>
          <w:u w:val="none"/>
          <w:rtl/>
        </w:rPr>
      </w:pPr>
      <w:r>
        <w:rPr>
          <w:rFonts w:cs="David"/>
          <w:b w:val="0"/>
          <w:bCs w:val="0"/>
          <w:sz w:val="26"/>
          <w:szCs w:val="26"/>
          <w:u w:val="none"/>
          <w:rtl/>
        </w:rPr>
        <w:t>והונחה על שולחן הכנסת ביום</w:t>
      </w:r>
    </w:p>
    <w:p w:rsidR="00000000" w:rsidRDefault="00B728EB">
      <w:pPr>
        <w:pStyle w:val="a3"/>
        <w:spacing w:line="360" w:lineRule="auto"/>
        <w:jc w:val="left"/>
        <w:rPr>
          <w:rFonts w:cs="David"/>
          <w:b w:val="0"/>
          <w:bCs w:val="0"/>
          <w:sz w:val="26"/>
          <w:szCs w:val="26"/>
          <w:u w:val="none"/>
          <w:rtl/>
        </w:rPr>
      </w:pPr>
      <w:r>
        <w:rPr>
          <w:rFonts w:cs="David"/>
          <w:b w:val="0"/>
          <w:bCs w:val="0"/>
          <w:sz w:val="26"/>
          <w:szCs w:val="26"/>
          <w:u w:val="none"/>
          <w:rtl/>
        </w:rPr>
        <w:t>כ"א בתמוז התשס"ו - 17.7.06</w:t>
      </w:r>
    </w:p>
    <w:p w:rsidR="00000000" w:rsidRDefault="00B728EB">
      <w:pPr>
        <w:pStyle w:val="a3"/>
        <w:spacing w:line="360" w:lineRule="auto"/>
        <w:jc w:val="left"/>
        <w:rPr>
          <w:rFonts w:cs="David"/>
          <w:u w:val="none"/>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728EB">
      <w:r>
        <w:separator/>
      </w:r>
    </w:p>
  </w:endnote>
  <w:endnote w:type="continuationSeparator" w:id="0">
    <w:p w:rsidR="00000000" w:rsidRDefault="00B728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0000000000000000000"/>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728EB">
      <w:r>
        <w:separator/>
      </w:r>
    </w:p>
  </w:footnote>
  <w:footnote w:type="continuationSeparator" w:id="0">
    <w:p w:rsidR="00000000" w:rsidRDefault="00B728EB">
      <w:r>
        <w:continuationSeparator/>
      </w:r>
    </w:p>
  </w:footnote>
  <w:footnote w:id="1">
    <w:p w:rsidR="00000000" w:rsidRDefault="00B728EB">
      <w:pPr>
        <w:pStyle w:val="a8"/>
      </w:pPr>
      <w:r>
        <w:rPr>
          <w:rStyle w:val="aa"/>
          <w:rFonts w:cs="David"/>
        </w:rPr>
        <w:footnoteRef/>
      </w:r>
      <w:r>
        <w:rPr>
          <w:rFonts w:cs="David"/>
        </w:rPr>
        <w:t xml:space="preserve"> </w:t>
      </w:r>
      <w:r>
        <w:rPr>
          <w:rFonts w:cs="David"/>
          <w:rtl/>
        </w:rPr>
        <w:t>ס"ח התשי"ד, עמ' 202.</w:t>
      </w:r>
    </w:p>
  </w:footnote>
  <w:footnote w:id="2">
    <w:p w:rsidR="00000000" w:rsidRDefault="00B728EB">
      <w:pPr>
        <w:pStyle w:val="a8"/>
      </w:pPr>
      <w:r>
        <w:rPr>
          <w:rStyle w:val="aa"/>
          <w:rFonts w:cs="David"/>
        </w:rPr>
        <w:footnoteRef/>
      </w:r>
      <w:r>
        <w:rPr>
          <w:rFonts w:cs="David"/>
        </w:rPr>
        <w:t xml:space="preserve"> </w:t>
      </w:r>
      <w:r>
        <w:rPr>
          <w:rFonts w:cs="David"/>
          <w:rtl/>
        </w:rPr>
        <w:t xml:space="preserve">ס"ח </w:t>
      </w:r>
      <w:r>
        <w:rPr>
          <w:rFonts w:cs="David"/>
          <w:rtl/>
        </w:rPr>
        <w:t>התשמ"ח, עמ' 38.</w:t>
      </w:r>
    </w:p>
  </w:footnote>
  <w:footnote w:id="3">
    <w:p w:rsidR="00000000" w:rsidRDefault="00B728EB">
      <w:pPr>
        <w:pStyle w:val="a8"/>
      </w:pPr>
      <w:r>
        <w:rPr>
          <w:rStyle w:val="aa"/>
          <w:rFonts w:cs="David"/>
        </w:rPr>
        <w:footnoteRef/>
      </w:r>
      <w:r>
        <w:rPr>
          <w:rFonts w:cs="David"/>
        </w:rPr>
        <w:t xml:space="preserve"> </w:t>
      </w:r>
      <w:r>
        <w:rPr>
          <w:rFonts w:cs="David"/>
          <w:rtl/>
        </w:rPr>
        <w:t>ס"ח התשנ"ה, עמ' 210.</w:t>
      </w:r>
    </w:p>
  </w:footnote>
  <w:footnote w:id="4">
    <w:p w:rsidR="00000000" w:rsidRDefault="00B728EB">
      <w:pPr>
        <w:pStyle w:val="a8"/>
      </w:pPr>
      <w:r>
        <w:rPr>
          <w:rStyle w:val="aa"/>
          <w:rFonts w:cs="David"/>
        </w:rPr>
        <w:footnoteRef/>
      </w:r>
      <w:r>
        <w:rPr>
          <w:rFonts w:cs="David"/>
        </w:rPr>
        <w:t xml:space="preserve"> </w:t>
      </w:r>
      <w:r>
        <w:rPr>
          <w:rFonts w:cs="David"/>
          <w:rtl/>
        </w:rPr>
        <w:t>ס"ח התשכ"ג, עמ' 50.</w:t>
      </w:r>
    </w:p>
  </w:footnote>
  <w:footnote w:id="5">
    <w:p w:rsidR="00000000" w:rsidRDefault="00B728EB">
      <w:pPr>
        <w:pStyle w:val="a8"/>
      </w:pPr>
      <w:r>
        <w:rPr>
          <w:rStyle w:val="aa"/>
        </w:rPr>
        <w:footnoteRef/>
      </w:r>
      <w:r>
        <w:t xml:space="preserve"> </w:t>
      </w:r>
      <w:r>
        <w:rPr>
          <w:rtl/>
        </w:rPr>
        <w:t xml:space="preserve"> </w:t>
      </w:r>
      <w:r>
        <w:rPr>
          <w:rFonts w:cs="David"/>
          <w:rtl/>
        </w:rPr>
        <w:t>ס"ח התשי"ד, עמ' 202.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728EB">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B728EB">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37906æáåìåï àåøìá - äöç àøâåï äôé÷åç òì äòáåãä (úé÷åï-ùéøåú ôé÷åç àæøçé) äúùñå-2006.doc"/>
    <w:docVar w:name="StartMode" w:val="2"/>
  </w:docVars>
  <w:rsids>
    <w:rsidRoot w:val="00B728EB"/>
    <w:rsid w:val="00B728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caption" w:uiPriority="35" w:qFormat="1"/>
    <w:lsdException w:name="footnote reference"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eastAsia="Times New Roman"/>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Times New Roman"/>
    </w:rPr>
  </w:style>
  <w:style w:type="paragraph" w:styleId="a8">
    <w:name w:val="footnote text"/>
    <w:basedOn w:val="a"/>
    <w:link w:val="a9"/>
    <w:uiPriority w:val="99"/>
    <w:rPr>
      <w:sz w:val="20"/>
      <w:szCs w:val="20"/>
    </w:rPr>
  </w:style>
  <w:style w:type="character" w:customStyle="1" w:styleId="a9">
    <w:name w:val="טקסט הערת שוליים תו"/>
    <w:basedOn w:val="a0"/>
    <w:link w:val="a8"/>
    <w:uiPriority w:val="99"/>
    <w:semiHidden/>
    <w:rPr>
      <w:rFonts w:ascii="Times New Roman" w:hAnsi="Times New Roman" w:cs="Times New Roman"/>
      <w:sz w:val="20"/>
      <w:szCs w:val="20"/>
      <w:lang w:eastAsia="he-IL"/>
    </w:rPr>
  </w:style>
  <w:style w:type="character" w:styleId="aa">
    <w:name w:val="footnote reference"/>
    <w:basedOn w:val="a0"/>
    <w:uiPriority w:val="99"/>
    <w:rPr>
      <w:rFonts w:cs="Times New Roman"/>
      <w:vertAlign w:val="superscript"/>
    </w:rPr>
  </w:style>
  <w:style w:type="paragraph" w:styleId="ab">
    <w:name w:val="Body Text"/>
    <w:basedOn w:val="a"/>
    <w:link w:val="ac"/>
    <w:uiPriority w:val="99"/>
    <w:pPr>
      <w:jc w:val="both"/>
    </w:pPr>
    <w:rPr>
      <w:sz w:val="26"/>
      <w:szCs w:val="26"/>
    </w:r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734</Words>
  <Characters>3675</Characters>
  <Application>Microsoft Office Word</Application>
  <DocSecurity>0</DocSecurity>
  <Lines>30</Lines>
  <Paragraphs>8</Paragraphs>
  <ScaleCrop>false</ScaleCrop>
  <Company>knesset</Company>
  <LinksUpToDate>false</LinksUpToDate>
  <CharactersWithSpaces>4401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ארגון הפיקוח על העבודה (תיקון - שירות פיקוח אזרחי), התשס"ו-2006</dc:title>
  <dc:subject/>
  <dc:creator>Knesset</dc:creator>
  <cp:keywords/>
  <dc:description/>
  <cp:lastModifiedBy>שמואל כוכב</cp:lastModifiedBy>
  <cp:revision>2</cp:revision>
  <dcterms:created xsi:type="dcterms:W3CDTF">2015-02-03T16:43:00Z</dcterms:created>
  <dcterms:modified xsi:type="dcterms:W3CDTF">2015-02-03T16:43:00Z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129</vt:i4>
  </property>
  <property fmtid="{D5CDD505-2E9C-101B-9397-08002B2CF9AE}" pid="3" name="Nose">
    <vt:lpwstr>':הלשכה המשפטית:חקיקה - נוסח:1.טיוטה לטרומית'_x000d__x000d_</vt:lpwstr>
  </property>
  <property fmtid="{D5CDD505-2E9C-101B-9397-08002B2CF9AE}" pid="4" name="Tizkoret">
    <vt:lpwstr/>
  </property>
  <property fmtid="{D5CDD505-2E9C-101B-9397-08002B2CF9AE}" pid="5" name="YozemHatzaa_ChakList">
    <vt:lpwstr>זבולון אורלב</vt:lpwstr>
  </property>
  <property fmtid="{D5CDD505-2E9C-101B-9397-08002B2CF9AE}" pid="6" name="סימוכין">
    <vt:i4>4583105</vt:i4>
  </property>
  <property fmtid="{D5CDD505-2E9C-101B-9397-08002B2CF9AE}" pid="7" name="תאריך המסמך">
    <vt:filetime>2005-03-03T22:00:00Z</vt:filetime>
  </property>
  <property fmtid="{D5CDD505-2E9C-101B-9397-08002B2CF9AE}" pid="8" name="CodeProfile">
    <vt:lpwstr>85</vt:lpwstr>
  </property>
  <property fmtid="{D5CDD505-2E9C-101B-9397-08002B2CF9AE}" pid="9" name="AutoNumber">
    <vt:lpwstr>03935606</vt:lpwstr>
  </property>
  <property fmtid="{D5CDD505-2E9C-101B-9397-08002B2CF9AE}" pid="10" name="מספר הצעת חוק למיון">
    <vt:lpwstr>1214</vt:lpwstr>
  </property>
  <property fmtid="{D5CDD505-2E9C-101B-9397-08002B2CF9AE}" pid="11" name="SDDocDate">
    <vt:lpwstr>2006-07-13T00:00:00Z</vt:lpwstr>
  </property>
  <property fmtid="{D5CDD505-2E9C-101B-9397-08002B2CF9AE}" pid="12" name="SDHebDate">
    <vt:lpwstr>י"ז בתמוז, התשס"ו</vt:lpwstr>
  </property>
  <property fmtid="{D5CDD505-2E9C-101B-9397-08002B2CF9AE}" pid="13" name="SDCategories">
    <vt:lpwstr>:דף הבית:נושאים:חקיקה:נוסח לדיון מוקדם;#:הלשכה המשפטית:הצעות חוק - כנסת 17;#</vt:lpwstr>
  </property>
  <property fmtid="{D5CDD505-2E9C-101B-9397-08002B2CF9AE}" pid="14" name="תאריך הנחה">
    <vt:lpwstr/>
  </property>
  <property fmtid="{D5CDD505-2E9C-101B-9397-08002B2CF9AE}" pid="15" name="HebrewDate">
    <vt:lpwstr/>
  </property>
  <property fmtid="{D5CDD505-2E9C-101B-9397-08002B2CF9AE}" pid="16" name="SDAuthor">
    <vt:lpwstr>עדי טייכר</vt:lpwstr>
  </property>
  <property fmtid="{D5CDD505-2E9C-101B-9397-08002B2CF9AE}" pid="17" name="MechaberMismach">
    <vt:lpwstr/>
  </property>
  <property fmtid="{D5CDD505-2E9C-101B-9397-08002B2CF9AE}" pid="18" name="MisHatzaatChok">
    <vt:lpwstr>פ/1214/17</vt:lpwstr>
  </property>
  <property fmtid="{D5CDD505-2E9C-101B-9397-08002B2CF9AE}" pid="19" name="SDRemark">
    <vt:lpwstr/>
  </property>
  <property fmtid="{D5CDD505-2E9C-101B-9397-08002B2CF9AE}" pid="20" name="SDOfflineTo">
    <vt:lpwstr/>
  </property>
  <property fmtid="{D5CDD505-2E9C-101B-9397-08002B2CF9AE}" pid="21" name="SDDistList">
    <vt:lpwstr/>
  </property>
  <property fmtid="{D5CDD505-2E9C-101B-9397-08002B2CF9AE}" pid="22" name="SDDistDate">
    <vt:lpwstr/>
  </property>
  <property fmtid="{D5CDD505-2E9C-101B-9397-08002B2CF9AE}" pid="23" name="SDOriginalID">
    <vt:lpwstr/>
  </property>
  <property fmtid="{D5CDD505-2E9C-101B-9397-08002B2CF9AE}" pid="24" name="SDSenderName">
    <vt:lpwstr/>
  </property>
  <property fmtid="{D5CDD505-2E9C-101B-9397-08002B2CF9AE}" pid="25" name="SDToList">
    <vt:lpwstr/>
  </property>
  <property fmtid="{D5CDD505-2E9C-101B-9397-08002B2CF9AE}" pid="26" name="SDCCList">
    <vt:lpwstr/>
  </property>
  <property fmtid="{D5CDD505-2E9C-101B-9397-08002B2CF9AE}" pid="27" name="STHasReminders">
    <vt:lpwstr>0</vt:lpwstr>
  </property>
  <property fmtid="{D5CDD505-2E9C-101B-9397-08002B2CF9AE}" pid="28" name="SDLink">
    <vt:lpwstr>, </vt:lpwstr>
  </property>
  <property fmtid="{D5CDD505-2E9C-101B-9397-08002B2CF9AE}" pid="29" name="Num_Gim1">
    <vt:lpwstr/>
  </property>
  <property fmtid="{D5CDD505-2E9C-101B-9397-08002B2CF9AE}" pid="30" name="NoseA">
    <vt:lpwstr/>
  </property>
  <property fmtid="{D5CDD505-2E9C-101B-9397-08002B2CF9AE}" pid="31" name="NoseB">
    <vt:lpwstr/>
  </property>
  <property fmtid="{D5CDD505-2E9C-101B-9397-08002B2CF9AE}" pid="32" name="knesset_number">
    <vt:lpwstr/>
  </property>
  <property fmtid="{D5CDD505-2E9C-101B-9397-08002B2CF9AE}" pid="33" name="ValidFrom">
    <vt:lpwstr/>
  </property>
  <property fmtid="{D5CDD505-2E9C-101B-9397-08002B2CF9AE}" pid="34" name="ValidUntill">
    <vt:lpwstr/>
  </property>
  <property fmtid="{D5CDD505-2E9C-101B-9397-08002B2CF9AE}" pid="35" name="To1">
    <vt:lpwstr/>
  </property>
  <property fmtid="{D5CDD505-2E9C-101B-9397-08002B2CF9AE}" pid="36" name="From">
    <vt:lpwstr/>
  </property>
  <property fmtid="{D5CDD505-2E9C-101B-9397-08002B2CF9AE}" pid="37" name="body">
    <vt:lpwstr/>
  </property>
</Properties>
</file>