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32008">
      <w:pPr>
        <w:pStyle w:val="a3"/>
        <w:spacing w:line="360" w:lineRule="auto"/>
        <w:rPr>
          <w:rFonts w:cs="David"/>
          <w:b w:val="0"/>
          <w:bCs w:val="0"/>
          <w:sz w:val="26"/>
          <w:szCs w:val="26"/>
          <w:u w:val="none"/>
          <w:rtl/>
        </w:rPr>
      </w:pPr>
      <w:bookmarkStart w:id="0" w:name="_GoBack"/>
      <w:bookmarkEnd w:id="0"/>
      <w:r>
        <w:rPr>
          <w:rFonts w:cs="David"/>
          <w:u w:val="none"/>
          <w:rtl/>
        </w:rPr>
        <w:t>הכנסת השבע-עשרה</w:t>
      </w:r>
    </w:p>
    <w:p w:rsidR="00000000" w:rsidRDefault="00432008">
      <w:pPr>
        <w:spacing w:line="360" w:lineRule="auto"/>
        <w:rPr>
          <w:rFonts w:cs="David"/>
          <w:sz w:val="26"/>
          <w:szCs w:val="26"/>
          <w:rtl/>
        </w:rPr>
      </w:pPr>
    </w:p>
    <w:tbl>
      <w:tblPr>
        <w:bidiVisual/>
        <w:tblW w:w="0" w:type="auto"/>
        <w:tblInd w:w="199" w:type="dxa"/>
        <w:tblBorders>
          <w:bottom w:val="single" w:sz="4" w:space="0" w:color="auto"/>
        </w:tblBorders>
        <w:tblLook w:val="0000" w:firstRow="0" w:lastRow="0" w:firstColumn="0" w:lastColumn="0" w:noHBand="0" w:noVBand="0"/>
      </w:tblPr>
      <w:tblGrid>
        <w:gridCol w:w="4248"/>
      </w:tblGrid>
      <w:tr w:rsidR="00000000">
        <w:tblPrEx>
          <w:tblCellMar>
            <w:top w:w="0" w:type="dxa"/>
            <w:bottom w:w="0" w:type="dxa"/>
          </w:tblCellMar>
        </w:tblPrEx>
        <w:tc>
          <w:tcPr>
            <w:tcW w:w="4248" w:type="dxa"/>
            <w:tcBorders>
              <w:top w:val="nil"/>
              <w:left w:val="nil"/>
              <w:bottom w:val="single" w:sz="4" w:space="0" w:color="auto"/>
              <w:right w:val="nil"/>
            </w:tcBorders>
          </w:tcPr>
          <w:p w:rsidR="00000000" w:rsidRDefault="00432008">
            <w:pPr>
              <w:spacing w:after="120"/>
              <w:jc w:val="right"/>
              <w:rPr>
                <w:rFonts w:cs="David"/>
                <w:sz w:val="26"/>
                <w:szCs w:val="26"/>
              </w:rPr>
            </w:pPr>
            <w:r>
              <w:rPr>
                <w:rFonts w:cs="David"/>
                <w:sz w:val="26"/>
                <w:szCs w:val="26"/>
                <w:rtl/>
              </w:rPr>
              <w:t xml:space="preserve">הצעת חוק של חבר הכנסת </w:t>
            </w:r>
            <w:r>
              <w:rPr>
                <w:rFonts w:cs="David"/>
                <w:b/>
                <w:bCs/>
                <w:sz w:val="26"/>
                <w:szCs w:val="26"/>
                <w:rtl/>
              </w:rPr>
              <w:t>אביגדור יצחקי</w:t>
            </w:r>
          </w:p>
        </w:tc>
      </w:tr>
    </w:tbl>
    <w:p w:rsidR="00000000" w:rsidRDefault="00432008">
      <w:pPr>
        <w:pStyle w:val="NormalWeb"/>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 xml:space="preserve">                                                   פ/1088/17</w:t>
      </w:r>
    </w:p>
    <w:p w:rsidR="00000000" w:rsidRDefault="00432008">
      <w:pPr>
        <w:pStyle w:val="NormalWeb"/>
        <w:bidi/>
        <w:jc w:val="center"/>
        <w:rPr>
          <w:rFonts w:cs="David"/>
          <w:b/>
          <w:bCs/>
          <w:sz w:val="28"/>
          <w:szCs w:val="28"/>
          <w:rtl/>
        </w:rPr>
      </w:pPr>
      <w:r>
        <w:rPr>
          <w:rFonts w:cs="David"/>
          <w:b/>
          <w:bCs/>
          <w:sz w:val="28"/>
          <w:szCs w:val="28"/>
          <w:rtl/>
        </w:rPr>
        <w:t>הצעת חוק שירות המדינה (מינויים) (תיק</w:t>
      </w:r>
      <w:r>
        <w:rPr>
          <w:rFonts w:cs="David"/>
          <w:b/>
          <w:bCs/>
          <w:sz w:val="28"/>
          <w:szCs w:val="28"/>
          <w:rtl/>
        </w:rPr>
        <w:t>ון - הקמת ועדה לאיתור מנכ"לים), התשס"ו-2006</w:t>
      </w:r>
    </w:p>
    <w:p w:rsidR="00000000" w:rsidRDefault="00432008">
      <w:pPr>
        <w:pStyle w:val="NormalWeb"/>
        <w:bidi/>
        <w:jc w:val="center"/>
        <w:rPr>
          <w:rFonts w:cs="David"/>
          <w:b/>
          <w:bCs/>
          <w:sz w:val="28"/>
          <w:szCs w:val="28"/>
          <w:rtl/>
        </w:rPr>
      </w:pPr>
    </w:p>
    <w:tbl>
      <w:tblPr>
        <w:bidiVisual/>
        <w:tblW w:w="0" w:type="auto"/>
        <w:jc w:val="center"/>
        <w:tblLook w:val="0000" w:firstRow="0" w:lastRow="0" w:firstColumn="0" w:lastColumn="0" w:noHBand="0" w:noVBand="0"/>
      </w:tblPr>
      <w:tblGrid>
        <w:gridCol w:w="1190"/>
        <w:gridCol w:w="566"/>
        <w:gridCol w:w="567"/>
        <w:gridCol w:w="567"/>
        <w:gridCol w:w="16"/>
        <w:gridCol w:w="5616"/>
      </w:tblGrid>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r>
              <w:rPr>
                <w:rFonts w:cs="David"/>
                <w:sz w:val="26"/>
                <w:szCs w:val="26"/>
                <w:rtl/>
              </w:rPr>
              <w:t>תיקון סעיף 12</w:t>
            </w:r>
          </w:p>
        </w:tc>
        <w:tc>
          <w:tcPr>
            <w:tcW w:w="566"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1.</w:t>
            </w:r>
          </w:p>
        </w:tc>
        <w:tc>
          <w:tcPr>
            <w:tcW w:w="6766" w:type="dxa"/>
            <w:gridSpan w:val="4"/>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בחוק שירות המדינה (מינויים), התשי"ט-1959</w:t>
            </w:r>
            <w:r>
              <w:rPr>
                <w:rStyle w:val="aa"/>
                <w:rFonts w:cs="David"/>
                <w:sz w:val="26"/>
                <w:szCs w:val="26"/>
                <w:rtl/>
              </w:rPr>
              <w:footnoteReference w:id="1"/>
            </w:r>
            <w:r>
              <w:rPr>
                <w:rFonts w:cs="David"/>
                <w:sz w:val="26"/>
                <w:szCs w:val="26"/>
              </w:rPr>
              <w:t xml:space="preserve"> </w:t>
            </w:r>
            <w:r>
              <w:rPr>
                <w:rFonts w:cs="David"/>
                <w:sz w:val="26"/>
                <w:szCs w:val="26"/>
                <w:rtl/>
              </w:rPr>
              <w:t xml:space="preserve">, בסעיף 12 -  </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(א)</w:t>
            </w:r>
          </w:p>
        </w:tc>
        <w:tc>
          <w:tcPr>
            <w:tcW w:w="6199" w:type="dxa"/>
            <w:gridSpan w:val="3"/>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 xml:space="preserve">במקום "הממשלה תמנה" יבוא "ועדה לאיתור מנכ"לים תמנה".  </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(ב)</w:t>
            </w:r>
          </w:p>
        </w:tc>
        <w:tc>
          <w:tcPr>
            <w:tcW w:w="6199" w:type="dxa"/>
            <w:gridSpan w:val="3"/>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האמור בו יסומן "(א)" ואחריו יבוא:</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83" w:type="dxa"/>
            <w:gridSpan w:val="2"/>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"(ב)</w:t>
            </w:r>
          </w:p>
        </w:tc>
        <w:tc>
          <w:tcPr>
            <w:tcW w:w="5616" w:type="dxa"/>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הממ</w:t>
            </w:r>
            <w:r>
              <w:rPr>
                <w:rFonts w:cs="David"/>
                <w:sz w:val="26"/>
                <w:szCs w:val="26"/>
                <w:rtl/>
              </w:rPr>
              <w:t>שלה תמנה ועדה בת שלושה חברים (להלן - ועדת האיתור); יושב ראש הועדה יהיה נציב שירות המדינה, שני החברים הנוספים יהיו נציג השר ונציג ציבור אשר יתחלפו בהתאם למשרד המדובר. הודעה על מינוי הועדה והרכבה, תפורסם ברשומות.</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(ג)</w:t>
            </w:r>
          </w:p>
        </w:tc>
        <w:tc>
          <w:tcPr>
            <w:tcW w:w="5632" w:type="dxa"/>
            <w:gridSpan w:val="2"/>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נפטר אחד מחברי ועדת האיתור או התפטר א</w:t>
            </w:r>
            <w:r>
              <w:rPr>
                <w:rFonts w:cs="David"/>
                <w:sz w:val="26"/>
                <w:szCs w:val="26"/>
                <w:rtl/>
              </w:rPr>
              <w:t>ו נבצר ממנו דרך קבע למלא את תפקידו, תמנה הממשלה חבר אחר במקומו;</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(ד)</w:t>
            </w:r>
          </w:p>
        </w:tc>
        <w:tc>
          <w:tcPr>
            <w:tcW w:w="5632" w:type="dxa"/>
            <w:gridSpan w:val="2"/>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ועדת האיתור תקבע בעצמה סדרי עבודתה ודיוניה, במידה שלא נקבעו בחוק או בתקנות.</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(ה)</w:t>
            </w:r>
          </w:p>
        </w:tc>
        <w:tc>
          <w:tcPr>
            <w:tcW w:w="5632" w:type="dxa"/>
            <w:gridSpan w:val="2"/>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ועדת האיתור תמליץ על 3 מועמדים בפני השר, מבין רשימת המועמדים יבקש השר מהממשלה למנות אחד מהם למנכ"ל.</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(ו)</w:t>
            </w:r>
          </w:p>
        </w:tc>
        <w:tc>
          <w:tcPr>
            <w:tcW w:w="5632" w:type="dxa"/>
            <w:gridSpan w:val="2"/>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 xml:space="preserve">המנכ"ל ימונה לתקופה של 4 שנים. עם זאת, במידה וחלפו 6 חודשים מכניסתו של שר חדש לתפקיד  רשאי השר לפנות לממשלה בבקשה להחליפו. אישרה הממשלה החלפה כאמור, יהא השר רשאי לבחור מנכ"ל חדש לפי הוראות סעיף קטן (ד).  </w:t>
            </w:r>
          </w:p>
        </w:tc>
      </w:tr>
      <w:tr w:rsidR="00000000">
        <w:trPr>
          <w:jc w:val="center"/>
        </w:trPr>
        <w:tc>
          <w:tcPr>
            <w:tcW w:w="1190" w:type="dxa"/>
            <w:tcBorders>
              <w:top w:val="nil"/>
              <w:left w:val="nil"/>
              <w:bottom w:val="nil"/>
              <w:right w:val="nil"/>
            </w:tcBorders>
          </w:tcPr>
          <w:p w:rsidR="00000000" w:rsidRDefault="00432008">
            <w:pPr>
              <w:spacing w:after="120"/>
              <w:rPr>
                <w:rFonts w:cs="David"/>
                <w:sz w:val="26"/>
                <w:szCs w:val="26"/>
                <w:rtl/>
              </w:rPr>
            </w:pPr>
          </w:p>
        </w:tc>
        <w:tc>
          <w:tcPr>
            <w:tcW w:w="566"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p>
        </w:tc>
        <w:tc>
          <w:tcPr>
            <w:tcW w:w="567" w:type="dxa"/>
            <w:tcBorders>
              <w:top w:val="nil"/>
              <w:left w:val="nil"/>
              <w:bottom w:val="nil"/>
              <w:right w:val="nil"/>
            </w:tcBorders>
          </w:tcPr>
          <w:p w:rsidR="00000000" w:rsidRDefault="00432008">
            <w:pPr>
              <w:spacing w:after="120" w:line="360" w:lineRule="auto"/>
              <w:rPr>
                <w:rFonts w:cs="David"/>
                <w:sz w:val="26"/>
                <w:szCs w:val="26"/>
                <w:rtl/>
              </w:rPr>
            </w:pPr>
            <w:r>
              <w:rPr>
                <w:rFonts w:cs="David"/>
                <w:sz w:val="26"/>
                <w:szCs w:val="26"/>
                <w:rtl/>
              </w:rPr>
              <w:t>(ז)</w:t>
            </w:r>
          </w:p>
        </w:tc>
        <w:tc>
          <w:tcPr>
            <w:tcW w:w="5632" w:type="dxa"/>
            <w:gridSpan w:val="2"/>
            <w:tcBorders>
              <w:top w:val="nil"/>
              <w:left w:val="nil"/>
              <w:bottom w:val="nil"/>
              <w:right w:val="nil"/>
            </w:tcBorders>
          </w:tcPr>
          <w:p w:rsidR="00000000" w:rsidRDefault="00432008">
            <w:pPr>
              <w:spacing w:after="120" w:line="360" w:lineRule="auto"/>
              <w:jc w:val="both"/>
              <w:rPr>
                <w:rFonts w:cs="David"/>
                <w:sz w:val="26"/>
                <w:szCs w:val="26"/>
                <w:rtl/>
              </w:rPr>
            </w:pPr>
            <w:r>
              <w:rPr>
                <w:rFonts w:cs="David"/>
                <w:sz w:val="26"/>
                <w:szCs w:val="26"/>
                <w:rtl/>
              </w:rPr>
              <w:t>תנאי העסקת המנכ"ל יהיו על פי התקשי"</w:t>
            </w:r>
            <w:r>
              <w:rPr>
                <w:rFonts w:cs="David"/>
                <w:sz w:val="26"/>
                <w:szCs w:val="26"/>
                <w:rtl/>
              </w:rPr>
              <w:t>ר.</w:t>
            </w:r>
          </w:p>
        </w:tc>
      </w:tr>
    </w:tbl>
    <w:p w:rsidR="00000000" w:rsidRDefault="00432008">
      <w:pPr>
        <w:spacing w:line="360" w:lineRule="auto"/>
        <w:jc w:val="center"/>
        <w:rPr>
          <w:rFonts w:cs="David"/>
          <w:b/>
          <w:bCs/>
          <w:sz w:val="28"/>
          <w:szCs w:val="28"/>
          <w:rtl/>
        </w:rPr>
      </w:pPr>
      <w:r>
        <w:rPr>
          <w:rFonts w:cs="David"/>
          <w:b/>
          <w:bCs/>
          <w:sz w:val="28"/>
          <w:szCs w:val="28"/>
          <w:rtl/>
        </w:rPr>
        <w:tab/>
      </w:r>
      <w:r>
        <w:rPr>
          <w:rFonts w:cs="David"/>
          <w:b/>
          <w:bCs/>
          <w:sz w:val="28"/>
          <w:szCs w:val="28"/>
          <w:rtl/>
        </w:rPr>
        <w:tab/>
      </w:r>
      <w:r>
        <w:rPr>
          <w:rFonts w:cs="David"/>
          <w:b/>
          <w:bCs/>
          <w:sz w:val="28"/>
          <w:szCs w:val="28"/>
          <w:rtl/>
        </w:rPr>
        <w:tab/>
      </w:r>
    </w:p>
    <w:p w:rsidR="00000000" w:rsidRDefault="00432008">
      <w:pPr>
        <w:pStyle w:val="NormalWeb"/>
        <w:bidi/>
        <w:spacing w:line="360" w:lineRule="auto"/>
        <w:jc w:val="center"/>
        <w:rPr>
          <w:rFonts w:cs="David"/>
          <w:b/>
          <w:bCs/>
          <w:sz w:val="27"/>
          <w:szCs w:val="27"/>
          <w:u w:val="single"/>
          <w:rtl/>
        </w:rPr>
      </w:pPr>
      <w:r>
        <w:rPr>
          <w:rFonts w:cs="David"/>
          <w:b/>
          <w:bCs/>
          <w:sz w:val="27"/>
          <w:szCs w:val="27"/>
          <w:u w:val="single"/>
          <w:rtl/>
        </w:rPr>
        <w:lastRenderedPageBreak/>
        <w:t>דברי - הסבר</w:t>
      </w:r>
    </w:p>
    <w:p w:rsidR="00000000" w:rsidRDefault="00432008">
      <w:pPr>
        <w:pStyle w:val="NormalWeb"/>
        <w:bidi/>
        <w:spacing w:line="360" w:lineRule="auto"/>
        <w:jc w:val="both"/>
        <w:rPr>
          <w:rFonts w:cs="David"/>
          <w:sz w:val="26"/>
          <w:szCs w:val="26"/>
          <w:rtl/>
        </w:rPr>
      </w:pPr>
      <w:r>
        <w:rPr>
          <w:rFonts w:cs="David"/>
          <w:sz w:val="26"/>
          <w:szCs w:val="26"/>
          <w:rtl/>
        </w:rPr>
        <w:t xml:space="preserve">בשנת 1999 נתקבלה החלטת ממשלה בדבר הקמת ועדה שתחווה את דעתה על מועמדים למשרת מנהל כללי או לאחת המשרות המפורטות בחוק. החלטה זו השרישה את הנוהג בו השר ממנה את מקורבו לתפקיד ללא חובת מכרז. </w:t>
      </w:r>
    </w:p>
    <w:p w:rsidR="00000000" w:rsidRDefault="00432008">
      <w:pPr>
        <w:pStyle w:val="NormalWeb"/>
        <w:bidi/>
        <w:spacing w:line="360" w:lineRule="auto"/>
        <w:jc w:val="both"/>
        <w:rPr>
          <w:rFonts w:cs="David"/>
          <w:sz w:val="26"/>
          <w:szCs w:val="26"/>
          <w:rtl/>
        </w:rPr>
      </w:pPr>
      <w:r>
        <w:rPr>
          <w:rFonts w:cs="David"/>
          <w:sz w:val="26"/>
          <w:szCs w:val="26"/>
          <w:rtl/>
        </w:rPr>
        <w:t>הצעת חוק זו באה לשנות מצב פסול זה מתוך מחשבה כי תפ</w:t>
      </w:r>
      <w:r>
        <w:rPr>
          <w:rFonts w:cs="David"/>
          <w:sz w:val="26"/>
          <w:szCs w:val="26"/>
          <w:rtl/>
        </w:rPr>
        <w:t>קיד מנכ"ל במשרד ממשלתי צריך להיות מינוי מקצועי, חף ממניעים פוליטיים. יתרה מכך, השינויים התכופים בשלטון גורמים לכך שכניסתו של שר למשרד חדש מובילה גם להחלפת המנכ"ל המכהן והכנסתו של מנכ"ל חדש למשרד, זאת בטרם הספיק הראשון ללמוד עד תום את רזי המשרד עליו היה מופ</w:t>
      </w:r>
      <w:r>
        <w:rPr>
          <w:rFonts w:cs="David"/>
          <w:sz w:val="26"/>
          <w:szCs w:val="26"/>
          <w:rtl/>
        </w:rPr>
        <w:t xml:space="preserve">קד. </w:t>
      </w:r>
    </w:p>
    <w:p w:rsidR="00000000" w:rsidRDefault="00432008">
      <w:pPr>
        <w:pStyle w:val="NormalWeb"/>
        <w:bidi/>
        <w:spacing w:line="360" w:lineRule="auto"/>
        <w:jc w:val="both"/>
        <w:rPr>
          <w:rFonts w:cs="David"/>
          <w:sz w:val="26"/>
          <w:szCs w:val="26"/>
          <w:rtl/>
        </w:rPr>
      </w:pPr>
      <w:r>
        <w:rPr>
          <w:rFonts w:cs="David"/>
          <w:sz w:val="26"/>
          <w:szCs w:val="26"/>
          <w:rtl/>
        </w:rPr>
        <w:t>מטרת הצעת החוק היא למנוע את החילופים התכופים על-ידי קביעת כהונת המנכ"ל לתקופה של 4 שנים. קביעה זו תיצור יציבות ותאפשר עבודה מקצועית ורצינית לאורך זמן. עם זאת, ראוי לציין כי הצעת החוק מאפשרת לשר לבקש מהממשלה להחליף את המנכ"ל במידה ומתעוררת מחלוקת בין ה</w:t>
      </w:r>
      <w:r>
        <w:rPr>
          <w:rFonts w:cs="David"/>
          <w:sz w:val="26"/>
          <w:szCs w:val="26"/>
          <w:rtl/>
        </w:rPr>
        <w:t>שניים.</w:t>
      </w:r>
    </w:p>
    <w:p w:rsidR="00000000" w:rsidRDefault="00432008">
      <w:pPr>
        <w:pStyle w:val="NormalWeb"/>
        <w:bidi/>
        <w:spacing w:line="360" w:lineRule="auto"/>
        <w:jc w:val="both"/>
        <w:rPr>
          <w:rFonts w:cs="David"/>
          <w:sz w:val="26"/>
          <w:szCs w:val="26"/>
          <w:rtl/>
        </w:rPr>
      </w:pPr>
    </w:p>
    <w:p w:rsidR="00000000" w:rsidRDefault="00432008">
      <w:pPr>
        <w:pStyle w:val="NormalWeb"/>
        <w:bidi/>
        <w:jc w:val="both"/>
        <w:rPr>
          <w:rFonts w:cs="David"/>
          <w:sz w:val="26"/>
          <w:szCs w:val="26"/>
          <w:rtl/>
        </w:rPr>
      </w:pPr>
      <w:r>
        <w:rPr>
          <w:rFonts w:cs="David"/>
          <w:sz w:val="26"/>
          <w:szCs w:val="26"/>
          <w:rtl/>
        </w:rPr>
        <w:t>________________________</w:t>
      </w:r>
    </w:p>
    <w:p w:rsidR="00000000" w:rsidRDefault="00432008">
      <w:pPr>
        <w:pStyle w:val="NormalWeb"/>
        <w:bidi/>
        <w:jc w:val="both"/>
        <w:rPr>
          <w:rFonts w:cs="David"/>
          <w:sz w:val="26"/>
          <w:szCs w:val="26"/>
          <w:rtl/>
        </w:rPr>
      </w:pPr>
      <w:r>
        <w:rPr>
          <w:rFonts w:cs="David"/>
          <w:sz w:val="26"/>
          <w:szCs w:val="26"/>
          <w:rtl/>
        </w:rPr>
        <w:t>הוגשה ליו"ר הכנסת והסגנים</w:t>
      </w:r>
    </w:p>
    <w:p w:rsidR="00000000" w:rsidRDefault="00432008">
      <w:pPr>
        <w:pStyle w:val="NormalWeb"/>
        <w:bidi/>
        <w:jc w:val="both"/>
        <w:rPr>
          <w:rFonts w:cs="David"/>
          <w:sz w:val="26"/>
          <w:szCs w:val="26"/>
          <w:rtl/>
        </w:rPr>
      </w:pPr>
      <w:r>
        <w:rPr>
          <w:rFonts w:cs="David"/>
          <w:sz w:val="26"/>
          <w:szCs w:val="26"/>
          <w:rtl/>
        </w:rPr>
        <w:t xml:space="preserve">והונחה על שלחן הכנסת ביום </w:t>
      </w:r>
    </w:p>
    <w:p w:rsidR="00000000" w:rsidRDefault="00432008">
      <w:pPr>
        <w:pStyle w:val="NormalWeb"/>
        <w:bidi/>
        <w:jc w:val="both"/>
        <w:rPr>
          <w:rFonts w:cs="David"/>
          <w:sz w:val="26"/>
          <w:szCs w:val="26"/>
          <w:rtl/>
        </w:rPr>
      </w:pPr>
      <w:r>
        <w:rPr>
          <w:rFonts w:cs="David"/>
          <w:sz w:val="26"/>
          <w:szCs w:val="26"/>
          <w:rtl/>
        </w:rPr>
        <w:t>כ"א בתמוז התשס"ו – 17.7.06</w:t>
      </w:r>
    </w:p>
    <w:p w:rsidR="00000000" w:rsidRDefault="00432008">
      <w:pPr>
        <w:pStyle w:val="NormalWeb"/>
        <w:bidi/>
        <w:spacing w:line="360" w:lineRule="auto"/>
        <w:jc w:val="both"/>
        <w:rPr>
          <w:rFonts w:cs="David"/>
          <w:sz w:val="26"/>
          <w:szCs w:val="26"/>
          <w:rtl/>
        </w:rPr>
      </w:pPr>
    </w:p>
    <w:p w:rsidR="00000000" w:rsidRDefault="00432008">
      <w:pPr>
        <w:pStyle w:val="NormalWeb"/>
        <w:bidi/>
        <w:spacing w:line="360" w:lineRule="auto"/>
        <w:jc w:val="both"/>
        <w:rPr>
          <w:rFonts w:cs="David"/>
          <w:sz w:val="26"/>
          <w:szCs w:val="26"/>
          <w:rtl/>
        </w:rPr>
      </w:pPr>
    </w:p>
    <w:p w:rsidR="00000000" w:rsidRDefault="00432008">
      <w:pPr>
        <w:pStyle w:val="NormalWeb"/>
        <w:bidi/>
        <w:spacing w:line="360" w:lineRule="auto"/>
        <w:jc w:val="both"/>
        <w:rPr>
          <w:rFonts w:cs="David"/>
          <w:sz w:val="26"/>
          <w:szCs w:val="26"/>
          <w:u w:val="single"/>
          <w:rtl/>
        </w:rPr>
      </w:pPr>
    </w:p>
    <w:p w:rsidR="00000000" w:rsidRDefault="00432008">
      <w:pPr>
        <w:spacing w:line="360" w:lineRule="auto"/>
        <w:jc w:val="both"/>
        <w:rPr>
          <w:rFonts w:cs="David"/>
        </w:rPr>
      </w:pPr>
    </w:p>
    <w:p w:rsidR="00000000" w:rsidRDefault="00432008">
      <w:pPr>
        <w:pStyle w:val="a3"/>
        <w:spacing w:line="360" w:lineRule="auto"/>
        <w:jc w:val="both"/>
        <w:rPr>
          <w:rFonts w:cs="David"/>
          <w:u w:val="none"/>
        </w:rPr>
      </w:pPr>
    </w:p>
    <w:sectPr w:rsidR="00000000">
      <w:headerReference w:type="default" r:id="rId6"/>
      <w:pgSz w:w="11906" w:h="16838"/>
      <w:pgMar w:top="1258"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2008">
      <w:r>
        <w:separator/>
      </w:r>
    </w:p>
  </w:endnote>
  <w:endnote w:type="continuationSeparator" w:id="0">
    <w:p w:rsidR="00000000" w:rsidRDefault="00432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2008">
      <w:r>
        <w:separator/>
      </w:r>
    </w:p>
  </w:footnote>
  <w:footnote w:type="continuationSeparator" w:id="0">
    <w:p w:rsidR="00000000" w:rsidRDefault="00432008">
      <w:r>
        <w:continuationSeparator/>
      </w:r>
    </w:p>
  </w:footnote>
  <w:footnote w:id="1">
    <w:p w:rsidR="00000000" w:rsidRDefault="00432008">
      <w:pPr>
        <w:pStyle w:val="a8"/>
      </w:pPr>
      <w:r>
        <w:rPr>
          <w:rStyle w:val="aa"/>
          <w:rFonts w:cs="David"/>
        </w:rPr>
        <w:footnoteRef/>
      </w:r>
      <w:r>
        <w:rPr>
          <w:rFonts w:cs="David"/>
          <w:rtl/>
        </w:rPr>
        <w:t xml:space="preserve"> ס"ח התשי"ט, עמ' 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32008">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3200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379àáéâãåø éöç÷é - åòãú îðëìéí.doc"/>
    <w:docVar w:name="StartMode" w:val="2"/>
  </w:docVars>
  <w:rsids>
    <w:rsidRoot w:val="00432008"/>
    <w:rsid w:val="004320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NormalWeb">
    <w:name w:val="Normal (Web)"/>
    <w:basedOn w:val="a"/>
    <w:uiPriority w:val="99"/>
    <w:pPr>
      <w:bidi w:val="0"/>
      <w:spacing w:before="100" w:beforeAutospacing="1" w:after="100" w:afterAutospacing="1"/>
    </w:pPr>
    <w:rPr>
      <w:lang w:eastAsia="en-US"/>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1703</Characters>
  <Application>Microsoft Office Word</Application>
  <DocSecurity>0</DocSecurity>
  <Lines>14</Lines>
  <Paragraphs>4</Paragraphs>
  <ScaleCrop>false</ScaleCrop>
  <Company>knesset</Company>
  <LinksUpToDate>false</LinksUpToDate>
  <CharactersWithSpaces>2039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(מינויים) (תיקון - הקמת ועדה לאיתור מנכ"לים), התשס"ו-2006</dc:title>
  <dc:subject/>
  <dc:creator>Knesset</dc:creator>
  <cp:keywords/>
  <dc:description/>
  <cp:lastModifiedBy>שמואל כוכב</cp:lastModifiedBy>
  <cp:revision>2</cp:revision>
  <cp:lastPrinted>2006-07-12T13:53:00Z</cp:lastPrinted>
  <dcterms:created xsi:type="dcterms:W3CDTF">2015-02-03T16:38:00Z</dcterms:created>
  <dcterms:modified xsi:type="dcterms:W3CDTF">2015-02-03T16:38:00Z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אביגדור יצחקי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03892906</vt:lpwstr>
  </property>
  <property fmtid="{D5CDD505-2E9C-101B-9397-08002B2CF9AE}" pid="10" name="מספר הצעת חוק למיון">
    <vt:lpwstr>1088</vt:lpwstr>
  </property>
  <property fmtid="{D5CDD505-2E9C-101B-9397-08002B2CF9AE}" pid="11" name="SDDocDate">
    <vt:lpwstr>2006-07-12T00:00:00Z</vt:lpwstr>
  </property>
  <property fmtid="{D5CDD505-2E9C-101B-9397-08002B2CF9AE}" pid="12" name="SDHebDate">
    <vt:lpwstr>ט"ז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פ/1088/17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