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A2B16">
      <w:pPr>
        <w:pStyle w:val="a3"/>
        <w:bidi w:val="0"/>
        <w:rPr>
          <w:rFonts w:cs="David"/>
          <w:b w:val="0"/>
          <w:bCs w:val="0"/>
          <w:sz w:val="26"/>
          <w:szCs w:val="26"/>
          <w:u w:val="none"/>
          <w:rtl/>
        </w:rPr>
      </w:pPr>
      <w:bookmarkStart w:id="0" w:name="_GoBack"/>
      <w:bookmarkEnd w:id="0"/>
      <w:r>
        <w:rPr>
          <w:rFonts w:cs="David"/>
          <w:u w:val="none"/>
          <w:rtl/>
        </w:rPr>
        <w:t>הכנסת השבע-עשרה</w:t>
      </w:r>
    </w:p>
    <w:p w:rsidR="00000000" w:rsidRDefault="007A2B16">
      <w:pPr>
        <w:rPr>
          <w:rFonts w:cs="David"/>
          <w:sz w:val="26"/>
          <w:szCs w:val="26"/>
          <w:rtl/>
        </w:rPr>
      </w:pPr>
    </w:p>
    <w:p w:rsidR="00000000" w:rsidRDefault="007A2B16">
      <w:pPr>
        <w:rPr>
          <w:rFonts w:cs="David"/>
          <w:sz w:val="26"/>
          <w:szCs w:val="26"/>
          <w:rtl/>
        </w:rPr>
      </w:pPr>
    </w:p>
    <w:tbl>
      <w:tblPr>
        <w:bidiVisual/>
        <w:tblW w:w="0" w:type="auto"/>
        <w:tblInd w:w="4687" w:type="dxa"/>
        <w:tblBorders>
          <w:bottom w:val="single" w:sz="4" w:space="0" w:color="auto"/>
        </w:tblBorders>
        <w:tblLook w:val="0000" w:firstRow="0" w:lastRow="0" w:firstColumn="0" w:lastColumn="0" w:noHBand="0" w:noVBand="0"/>
      </w:tblPr>
      <w:tblGrid>
        <w:gridCol w:w="3835"/>
      </w:tblGrid>
      <w:tr w:rsidR="00000000">
        <w:tblPrEx>
          <w:tblCellMar>
            <w:top w:w="0" w:type="dxa"/>
            <w:bottom w:w="0" w:type="dxa"/>
          </w:tblCellMar>
        </w:tblPrEx>
        <w:tc>
          <w:tcPr>
            <w:tcW w:w="3835" w:type="dxa"/>
            <w:tcBorders>
              <w:top w:val="nil"/>
              <w:left w:val="nil"/>
              <w:bottom w:val="single" w:sz="4" w:space="0" w:color="auto"/>
              <w:right w:val="nil"/>
            </w:tcBorders>
          </w:tcPr>
          <w:p w:rsidR="00000000" w:rsidRDefault="007A2B16">
            <w:pPr>
              <w:spacing w:after="120"/>
              <w:rPr>
                <w:rFonts w:cs="David"/>
                <w:sz w:val="26"/>
                <w:szCs w:val="26"/>
                <w:rtl/>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מתן וילנאי</w:t>
            </w:r>
          </w:p>
        </w:tc>
      </w:tr>
    </w:tbl>
    <w:p w:rsidR="00000000" w:rsidRDefault="007A2B16">
      <w:pPr>
        <w:jc w:val="both"/>
        <w:rPr>
          <w:rFonts w:cs="David"/>
          <w:sz w:val="26"/>
          <w:szCs w:val="26"/>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9pt;margin-top:3.5pt;width:125.85pt;height:16.5pt;z-index:251658240;mso-position-horizontal-relative:text;mso-position-vertical-relative:text" stroked="f">
            <v:textbox style="mso-next-textbox:#_x0000_s1026" inset="0,0,0,0">
              <w:txbxContent>
                <w:p w:rsidR="00000000" w:rsidRDefault="007A2B16">
                  <w:pPr>
                    <w:rPr>
                      <w:rFonts w:cs="David"/>
                      <w:b/>
                      <w:bCs/>
                      <w:rtl/>
                    </w:rPr>
                  </w:pPr>
                  <w:r>
                    <w:rPr>
                      <w:rtl/>
                    </w:rPr>
                    <w:t xml:space="preserve">                </w:t>
                  </w:r>
                  <w:r>
                    <w:rPr>
                      <w:rFonts w:cs="David"/>
                      <w:b/>
                      <w:bCs/>
                      <w:rtl/>
                    </w:rPr>
                    <w:t>פ/480/17</w:t>
                  </w:r>
                </w:p>
              </w:txbxContent>
            </v:textbox>
            <w10:anchorlock/>
          </v:shape>
        </w:pict>
      </w:r>
      <w:r>
        <w:rPr>
          <w:rFonts w:cs="David"/>
          <w:sz w:val="26"/>
          <w:szCs w:val="26"/>
        </w:rPr>
        <w:t xml:space="preserve">                                                    </w:t>
      </w:r>
    </w:p>
    <w:p w:rsidR="00000000" w:rsidRDefault="007A2B16">
      <w:pPr>
        <w:rPr>
          <w:rFonts w:cs="David"/>
          <w:sz w:val="26"/>
          <w:szCs w:val="26"/>
          <w:rtl/>
        </w:rPr>
      </w:pPr>
    </w:p>
    <w:p w:rsidR="00000000" w:rsidRDefault="007A2B16">
      <w:pPr>
        <w:rPr>
          <w:rFonts w:cs="David"/>
          <w:sz w:val="26"/>
          <w:szCs w:val="26"/>
          <w:rtl/>
        </w:rPr>
      </w:pPr>
    </w:p>
    <w:p w:rsidR="00000000" w:rsidRDefault="007A2B16">
      <w:pPr>
        <w:pStyle w:val="1"/>
        <w:rPr>
          <w:rFonts w:cs="David"/>
          <w:u w:val="none"/>
          <w:rtl/>
        </w:rPr>
      </w:pPr>
      <w:r>
        <w:rPr>
          <w:rFonts w:cs="David"/>
          <w:u w:val="none"/>
          <w:rtl/>
        </w:rPr>
        <w:t xml:space="preserve">הצעת חוק הרשויות המקומיות (בחירת ראש הרשות וסגניו וכהונתם) </w:t>
      </w:r>
    </w:p>
    <w:p w:rsidR="00000000" w:rsidRDefault="007A2B16">
      <w:pPr>
        <w:pStyle w:val="1"/>
        <w:rPr>
          <w:rFonts w:cs="David"/>
          <w:b w:val="0"/>
          <w:bCs w:val="0"/>
          <w:sz w:val="26"/>
          <w:szCs w:val="26"/>
          <w:u w:val="none"/>
          <w:rtl/>
        </w:rPr>
      </w:pPr>
      <w:r>
        <w:rPr>
          <w:rFonts w:cs="David"/>
          <w:u w:val="none"/>
          <w:rtl/>
        </w:rPr>
        <w:t>(תיקון - הגבלת כהונת ראש רשות מקומית), התשס"ו-2006</w:t>
      </w:r>
    </w:p>
    <w:p w:rsidR="00000000" w:rsidRDefault="007A2B16">
      <w:pPr>
        <w:rPr>
          <w:rFonts w:cs="David"/>
          <w:sz w:val="26"/>
          <w:szCs w:val="26"/>
          <w:rtl/>
        </w:rPr>
      </w:pPr>
    </w:p>
    <w:p w:rsidR="00000000" w:rsidRDefault="007A2B16">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9"/>
        <w:gridCol w:w="549"/>
        <w:gridCol w:w="1191"/>
        <w:gridCol w:w="567"/>
        <w:gridCol w:w="4944"/>
      </w:tblGrid>
      <w:tr w:rsidR="00000000">
        <w:tblPrEx>
          <w:tblCellMar>
            <w:top w:w="0" w:type="dxa"/>
            <w:bottom w:w="0" w:type="dxa"/>
          </w:tblCellMar>
        </w:tblPrEx>
        <w:trPr>
          <w:cantSplit/>
        </w:trPr>
        <w:tc>
          <w:tcPr>
            <w:tcW w:w="1169" w:type="dxa"/>
            <w:tcBorders>
              <w:top w:val="nil"/>
              <w:left w:val="nil"/>
              <w:bottom w:val="nil"/>
              <w:right w:val="nil"/>
            </w:tcBorders>
          </w:tcPr>
          <w:p w:rsidR="00000000" w:rsidRDefault="007A2B16">
            <w:pPr>
              <w:rPr>
                <w:rFonts w:ascii="Courier New" w:hAnsi="Courier New" w:cs="David"/>
                <w:sz w:val="26"/>
                <w:szCs w:val="26"/>
                <w:rtl/>
              </w:rPr>
            </w:pPr>
            <w:r>
              <w:rPr>
                <w:rFonts w:ascii="Courier New" w:hAnsi="Courier New" w:cs="David"/>
                <w:sz w:val="26"/>
                <w:szCs w:val="26"/>
                <w:rtl/>
              </w:rPr>
              <w:t>תיקון סעיף 4</w:t>
            </w:r>
          </w:p>
        </w:tc>
        <w:tc>
          <w:tcPr>
            <w:tcW w:w="549" w:type="dxa"/>
            <w:tcBorders>
              <w:top w:val="nil"/>
              <w:left w:val="nil"/>
              <w:bottom w:val="nil"/>
              <w:right w:val="nil"/>
            </w:tcBorders>
          </w:tcPr>
          <w:p w:rsidR="00000000" w:rsidRDefault="007A2B16">
            <w:pPr>
              <w:rPr>
                <w:rFonts w:cs="David"/>
                <w:sz w:val="26"/>
                <w:szCs w:val="26"/>
                <w:rtl/>
              </w:rPr>
            </w:pPr>
            <w:r>
              <w:rPr>
                <w:rFonts w:cs="David"/>
                <w:sz w:val="26"/>
                <w:szCs w:val="26"/>
                <w:rtl/>
              </w:rPr>
              <w:t>1.</w:t>
            </w:r>
          </w:p>
        </w:tc>
        <w:tc>
          <w:tcPr>
            <w:tcW w:w="6702" w:type="dxa"/>
            <w:gridSpan w:val="3"/>
            <w:tcBorders>
              <w:top w:val="nil"/>
              <w:left w:val="nil"/>
              <w:bottom w:val="nil"/>
              <w:right w:val="nil"/>
            </w:tcBorders>
          </w:tcPr>
          <w:p w:rsidR="00000000" w:rsidRDefault="007A2B16">
            <w:pPr>
              <w:spacing w:line="360" w:lineRule="auto"/>
              <w:jc w:val="both"/>
              <w:rPr>
                <w:rFonts w:ascii="Courier New" w:hAnsi="Courier New" w:cs="David"/>
                <w:sz w:val="26"/>
                <w:szCs w:val="26"/>
                <w:rtl/>
              </w:rPr>
            </w:pPr>
            <w:r>
              <w:rPr>
                <w:rFonts w:ascii="Courier New" w:hAnsi="Courier New" w:cs="David"/>
                <w:sz w:val="26"/>
                <w:szCs w:val="26"/>
                <w:rtl/>
              </w:rPr>
              <w:t>בחוק הרשויות המקומיות (בחירת ראש הרשות וסגניו וכהונתם), התשל"ה</w:t>
            </w:r>
            <w:r>
              <w:rPr>
                <w:rFonts w:ascii="Courier New" w:hAnsi="Courier New" w:cs="David"/>
                <w:sz w:val="26"/>
                <w:szCs w:val="26"/>
              </w:rPr>
              <w:t>-</w:t>
            </w:r>
            <w:r>
              <w:rPr>
                <w:rFonts w:ascii="Courier New" w:hAnsi="Courier New" w:cs="David"/>
                <w:sz w:val="26"/>
                <w:szCs w:val="26"/>
                <w:rtl/>
              </w:rPr>
              <w:t>1975</w:t>
            </w:r>
            <w:r>
              <w:rPr>
                <w:rStyle w:val="aa"/>
                <w:rFonts w:ascii="Courier New" w:hAnsi="Courier New" w:cs="David"/>
                <w:sz w:val="26"/>
                <w:szCs w:val="26"/>
                <w:rtl/>
              </w:rPr>
              <w:footnoteReference w:id="1"/>
            </w:r>
            <w:r>
              <w:rPr>
                <w:rFonts w:ascii="Courier New" w:hAnsi="Courier New" w:cs="David"/>
                <w:sz w:val="26"/>
                <w:szCs w:val="26"/>
                <w:rtl/>
              </w:rPr>
              <w:t xml:space="preserve"> (להלן – החוק העיקרי), בסעיף 4(ב), אחרי "בסעיף קטן (ג)" יבוא "ובסעיף 4א".</w:t>
            </w:r>
          </w:p>
        </w:tc>
      </w:tr>
      <w:tr w:rsidR="00000000">
        <w:tblPrEx>
          <w:tblCellMar>
            <w:top w:w="0" w:type="dxa"/>
            <w:bottom w:w="0" w:type="dxa"/>
          </w:tblCellMar>
        </w:tblPrEx>
        <w:trPr>
          <w:cantSplit/>
        </w:trPr>
        <w:tc>
          <w:tcPr>
            <w:tcW w:w="1169" w:type="dxa"/>
            <w:tcBorders>
              <w:top w:val="nil"/>
              <w:left w:val="nil"/>
              <w:bottom w:val="nil"/>
              <w:right w:val="nil"/>
            </w:tcBorders>
          </w:tcPr>
          <w:p w:rsidR="00000000" w:rsidRDefault="007A2B16">
            <w:pPr>
              <w:rPr>
                <w:rFonts w:cs="David"/>
                <w:sz w:val="26"/>
                <w:szCs w:val="26"/>
              </w:rPr>
            </w:pPr>
            <w:r>
              <w:rPr>
                <w:rFonts w:ascii="Courier New" w:hAnsi="Courier New" w:cs="David"/>
                <w:sz w:val="26"/>
                <w:szCs w:val="26"/>
                <w:rtl/>
              </w:rPr>
              <w:t>הוספת סעיף 4א</w:t>
            </w:r>
          </w:p>
        </w:tc>
        <w:tc>
          <w:tcPr>
            <w:tcW w:w="549" w:type="dxa"/>
            <w:tcBorders>
              <w:top w:val="nil"/>
              <w:left w:val="nil"/>
              <w:bottom w:val="nil"/>
              <w:right w:val="nil"/>
            </w:tcBorders>
          </w:tcPr>
          <w:p w:rsidR="00000000" w:rsidRDefault="007A2B16">
            <w:pPr>
              <w:rPr>
                <w:rFonts w:cs="David"/>
                <w:sz w:val="26"/>
                <w:szCs w:val="26"/>
              </w:rPr>
            </w:pPr>
            <w:r>
              <w:rPr>
                <w:rFonts w:cs="David"/>
                <w:sz w:val="26"/>
                <w:szCs w:val="26"/>
                <w:rtl/>
              </w:rPr>
              <w:t>2.</w:t>
            </w:r>
          </w:p>
        </w:tc>
        <w:tc>
          <w:tcPr>
            <w:tcW w:w="6702" w:type="dxa"/>
            <w:gridSpan w:val="3"/>
            <w:tcBorders>
              <w:top w:val="nil"/>
              <w:left w:val="nil"/>
              <w:bottom w:val="nil"/>
              <w:right w:val="nil"/>
            </w:tcBorders>
          </w:tcPr>
          <w:p w:rsidR="00000000" w:rsidRDefault="007A2B16">
            <w:pPr>
              <w:spacing w:line="360" w:lineRule="auto"/>
              <w:jc w:val="both"/>
              <w:rPr>
                <w:rFonts w:ascii="Courier New" w:hAnsi="Courier New" w:cs="David"/>
                <w:sz w:val="26"/>
                <w:szCs w:val="26"/>
                <w:rtl/>
              </w:rPr>
            </w:pPr>
            <w:r>
              <w:rPr>
                <w:rFonts w:ascii="Courier New" w:hAnsi="Courier New" w:cs="David"/>
                <w:sz w:val="26"/>
                <w:szCs w:val="26"/>
                <w:rtl/>
              </w:rPr>
              <w:t>אחרי סעיף 4 לחוק העיקרי יבוא:</w:t>
            </w:r>
          </w:p>
          <w:p w:rsidR="00000000" w:rsidRDefault="007A2B16">
            <w:pPr>
              <w:spacing w:line="360" w:lineRule="auto"/>
              <w:jc w:val="both"/>
              <w:rPr>
                <w:rFonts w:cs="David"/>
                <w:sz w:val="26"/>
                <w:szCs w:val="26"/>
              </w:rPr>
            </w:pPr>
          </w:p>
        </w:tc>
      </w:tr>
      <w:tr w:rsidR="00000000">
        <w:tblPrEx>
          <w:tblCellMar>
            <w:top w:w="0" w:type="dxa"/>
            <w:bottom w:w="0" w:type="dxa"/>
          </w:tblCellMar>
        </w:tblPrEx>
        <w:trPr>
          <w:cantSplit/>
        </w:trPr>
        <w:tc>
          <w:tcPr>
            <w:tcW w:w="1169" w:type="dxa"/>
            <w:tcBorders>
              <w:top w:val="nil"/>
              <w:left w:val="nil"/>
              <w:bottom w:val="nil"/>
              <w:right w:val="nil"/>
            </w:tcBorders>
          </w:tcPr>
          <w:p w:rsidR="00000000" w:rsidRDefault="007A2B16">
            <w:pPr>
              <w:jc w:val="both"/>
              <w:rPr>
                <w:rFonts w:ascii="Courier New" w:hAnsi="Courier New" w:cs="David"/>
                <w:sz w:val="26"/>
                <w:szCs w:val="26"/>
              </w:rPr>
            </w:pPr>
          </w:p>
        </w:tc>
        <w:tc>
          <w:tcPr>
            <w:tcW w:w="549" w:type="dxa"/>
            <w:tcBorders>
              <w:top w:val="nil"/>
              <w:left w:val="nil"/>
              <w:bottom w:val="nil"/>
              <w:right w:val="nil"/>
            </w:tcBorders>
          </w:tcPr>
          <w:p w:rsidR="00000000" w:rsidRDefault="007A2B16">
            <w:pPr>
              <w:rPr>
                <w:rFonts w:cs="David"/>
                <w:sz w:val="26"/>
                <w:szCs w:val="26"/>
              </w:rPr>
            </w:pPr>
          </w:p>
        </w:tc>
        <w:tc>
          <w:tcPr>
            <w:tcW w:w="1191" w:type="dxa"/>
            <w:tcBorders>
              <w:top w:val="nil"/>
              <w:left w:val="nil"/>
              <w:bottom w:val="nil"/>
              <w:right w:val="nil"/>
            </w:tcBorders>
          </w:tcPr>
          <w:p w:rsidR="00000000" w:rsidRDefault="007A2B16">
            <w:pPr>
              <w:rPr>
                <w:rFonts w:ascii="Courier New" w:hAnsi="Courier New" w:cs="David"/>
                <w:sz w:val="26"/>
                <w:szCs w:val="26"/>
              </w:rPr>
            </w:pPr>
            <w:r>
              <w:rPr>
                <w:rFonts w:ascii="Courier New" w:hAnsi="Courier New" w:cs="David"/>
                <w:sz w:val="26"/>
                <w:szCs w:val="26"/>
                <w:rtl/>
              </w:rPr>
              <w:t>"סייג לזכות להיבחר</w:t>
            </w:r>
          </w:p>
        </w:tc>
        <w:tc>
          <w:tcPr>
            <w:tcW w:w="567" w:type="dxa"/>
            <w:tcBorders>
              <w:top w:val="nil"/>
              <w:left w:val="nil"/>
              <w:bottom w:val="nil"/>
              <w:right w:val="nil"/>
            </w:tcBorders>
          </w:tcPr>
          <w:p w:rsidR="00000000" w:rsidRDefault="007A2B16">
            <w:pPr>
              <w:rPr>
                <w:rFonts w:ascii="Courier New" w:hAnsi="Courier New" w:cs="David"/>
                <w:sz w:val="26"/>
                <w:szCs w:val="26"/>
              </w:rPr>
            </w:pPr>
            <w:r>
              <w:rPr>
                <w:rFonts w:ascii="Courier New" w:hAnsi="Courier New" w:cs="David"/>
                <w:sz w:val="26"/>
                <w:szCs w:val="26"/>
                <w:rtl/>
              </w:rPr>
              <w:t>4א.</w:t>
            </w:r>
          </w:p>
        </w:tc>
        <w:tc>
          <w:tcPr>
            <w:tcW w:w="4944" w:type="dxa"/>
            <w:tcBorders>
              <w:top w:val="nil"/>
              <w:left w:val="nil"/>
              <w:bottom w:val="nil"/>
              <w:right w:val="nil"/>
            </w:tcBorders>
          </w:tcPr>
          <w:p w:rsidR="00000000" w:rsidRDefault="007A2B16">
            <w:pPr>
              <w:spacing w:line="360" w:lineRule="auto"/>
              <w:jc w:val="both"/>
              <w:rPr>
                <w:rFonts w:ascii="Courier New" w:hAnsi="Courier New" w:cs="David"/>
                <w:sz w:val="26"/>
                <w:szCs w:val="26"/>
              </w:rPr>
            </w:pPr>
            <w:r>
              <w:rPr>
                <w:rFonts w:ascii="Courier New" w:hAnsi="Courier New" w:cs="David"/>
                <w:sz w:val="26"/>
                <w:szCs w:val="26"/>
                <w:rtl/>
              </w:rPr>
              <w:t>מי שכיהן כראש רשות שתי כהונות רצופות, לא יהיה מועמד בבחירות לראש הרשות שבסמוך לאחר מכן."</w:t>
            </w:r>
          </w:p>
        </w:tc>
      </w:tr>
    </w:tbl>
    <w:p w:rsidR="00000000" w:rsidRDefault="007A2B16">
      <w:pPr>
        <w:rPr>
          <w:rFonts w:cs="David"/>
          <w:sz w:val="26"/>
          <w:szCs w:val="26"/>
          <w:rtl/>
        </w:rPr>
      </w:pPr>
    </w:p>
    <w:p w:rsidR="00000000" w:rsidRDefault="007A2B16">
      <w:pPr>
        <w:ind w:left="26"/>
        <w:jc w:val="both"/>
        <w:rPr>
          <w:rFonts w:ascii="Courier New" w:hAnsi="Courier New" w:cs="David"/>
          <w:sz w:val="26"/>
          <w:szCs w:val="26"/>
          <w:rtl/>
        </w:rPr>
      </w:pPr>
    </w:p>
    <w:p w:rsidR="00000000" w:rsidRDefault="007A2B16">
      <w:pPr>
        <w:ind w:left="26"/>
        <w:jc w:val="center"/>
        <w:rPr>
          <w:rFonts w:ascii="Courier New" w:hAnsi="Courier New" w:cs="David"/>
          <w:b/>
          <w:bCs/>
          <w:sz w:val="28"/>
          <w:szCs w:val="28"/>
          <w:u w:val="single"/>
          <w:rtl/>
        </w:rPr>
      </w:pPr>
    </w:p>
    <w:p w:rsidR="00000000" w:rsidRDefault="007A2B16">
      <w:pPr>
        <w:ind w:left="26"/>
        <w:jc w:val="center"/>
        <w:rPr>
          <w:rFonts w:ascii="Courier New" w:hAnsi="Courier New" w:cs="David"/>
          <w:b/>
          <w:bCs/>
          <w:sz w:val="28"/>
          <w:szCs w:val="28"/>
          <w:u w:val="single"/>
          <w:rtl/>
        </w:rPr>
      </w:pPr>
    </w:p>
    <w:p w:rsidR="00000000" w:rsidRDefault="007A2B16">
      <w:pPr>
        <w:ind w:left="26"/>
        <w:jc w:val="center"/>
        <w:rPr>
          <w:rFonts w:ascii="Courier New" w:hAnsi="Courier New" w:cs="David"/>
          <w:b/>
          <w:bCs/>
          <w:sz w:val="28"/>
          <w:szCs w:val="28"/>
          <w:u w:val="single"/>
          <w:rtl/>
        </w:rPr>
      </w:pPr>
      <w:r>
        <w:rPr>
          <w:rFonts w:ascii="Courier New" w:hAnsi="Courier New" w:cs="David"/>
          <w:b/>
          <w:bCs/>
          <w:sz w:val="28"/>
          <w:szCs w:val="28"/>
          <w:u w:val="single"/>
          <w:rtl/>
        </w:rPr>
        <w:t>דברי - הסבר</w:t>
      </w:r>
    </w:p>
    <w:p w:rsidR="00000000" w:rsidRDefault="007A2B16">
      <w:pPr>
        <w:ind w:left="26"/>
        <w:jc w:val="both"/>
        <w:rPr>
          <w:rFonts w:ascii="Courier New" w:hAnsi="Courier New" w:cs="David"/>
          <w:sz w:val="26"/>
          <w:szCs w:val="26"/>
          <w:rtl/>
        </w:rPr>
      </w:pPr>
      <w:r>
        <w:rPr>
          <w:rFonts w:ascii="Courier New" w:hAnsi="Courier New" w:cs="David"/>
          <w:sz w:val="26"/>
          <w:szCs w:val="26"/>
          <w:rtl/>
        </w:rPr>
        <w:t xml:space="preserve"> </w:t>
      </w:r>
    </w:p>
    <w:p w:rsidR="00000000" w:rsidRDefault="007A2B16">
      <w:pPr>
        <w:ind w:left="26"/>
        <w:jc w:val="both"/>
        <w:rPr>
          <w:rFonts w:ascii="Courier New" w:hAnsi="Courier New" w:cs="David"/>
          <w:sz w:val="26"/>
          <w:szCs w:val="26"/>
          <w:rtl/>
        </w:rPr>
      </w:pPr>
    </w:p>
    <w:p w:rsidR="00000000" w:rsidRDefault="007A2B16">
      <w:pPr>
        <w:spacing w:line="360" w:lineRule="auto"/>
        <w:jc w:val="both"/>
        <w:rPr>
          <w:rFonts w:cs="David"/>
          <w:sz w:val="26"/>
          <w:szCs w:val="26"/>
          <w:rtl/>
        </w:rPr>
      </w:pPr>
      <w:r>
        <w:rPr>
          <w:rFonts w:ascii="Courier New" w:hAnsi="Courier New" w:cs="David"/>
          <w:sz w:val="26"/>
          <w:szCs w:val="26"/>
          <w:rtl/>
        </w:rPr>
        <w:t>חוק הרשויות המקומיות (בחירת ראש הרשות וסגניו וכהונתם), התשל"ה</w:t>
      </w:r>
      <w:r>
        <w:rPr>
          <w:rFonts w:ascii="Courier New" w:hAnsi="Courier New" w:cs="David"/>
          <w:sz w:val="26"/>
          <w:szCs w:val="26"/>
        </w:rPr>
        <w:t>-</w:t>
      </w:r>
      <w:r>
        <w:rPr>
          <w:rFonts w:ascii="Courier New" w:hAnsi="Courier New" w:cs="David"/>
          <w:sz w:val="26"/>
          <w:szCs w:val="26"/>
          <w:rtl/>
        </w:rPr>
        <w:t>1975 מתיר לראש רשות מקומית לכהן ללא הגבלה. במקומות רבים בארץ מכהנים ראשי רשויות למשך תקופה ארוכה מאוד, כשהם חוסמים את הדרך למועמדים חדשים. לפיכך, מוצע לתקן את החוק באופן שיג</w:t>
      </w:r>
      <w:r>
        <w:rPr>
          <w:rFonts w:ascii="Courier New" w:hAnsi="Courier New" w:cs="David"/>
          <w:sz w:val="26"/>
          <w:szCs w:val="26"/>
          <w:rtl/>
        </w:rPr>
        <w:t>ביל את משך זמן כהונת ראש רשות מקומית ויגדיל את הסיכוי של מועמדים חדשים לכהן בתפקיד.</w:t>
      </w:r>
    </w:p>
    <w:p w:rsidR="00000000" w:rsidRDefault="007A2B16">
      <w:pPr>
        <w:spacing w:line="360" w:lineRule="auto"/>
        <w:jc w:val="both"/>
        <w:rPr>
          <w:rFonts w:cs="David"/>
          <w:sz w:val="26"/>
          <w:szCs w:val="26"/>
          <w:rtl/>
        </w:rPr>
      </w:pPr>
    </w:p>
    <w:p w:rsidR="00000000" w:rsidRDefault="007A2B16">
      <w:pPr>
        <w:spacing w:line="360" w:lineRule="auto"/>
        <w:jc w:val="both"/>
        <w:rPr>
          <w:rFonts w:cs="David"/>
          <w:sz w:val="26"/>
          <w:szCs w:val="26"/>
          <w:rtl/>
        </w:rPr>
      </w:pPr>
      <w:r>
        <w:rPr>
          <w:rFonts w:cs="David"/>
          <w:sz w:val="26"/>
          <w:szCs w:val="26"/>
          <w:rtl/>
        </w:rPr>
        <w:t>הצעת חוק זהה הונחה על שולחן הכנסת החמש-עשרה על ידי חברת הכנסת נעמי חזן (פ/742); הצעות חוק דומות בעיקרן הונחו על שולחן הכנסת החמש-עשרה על ידי חברי הכנסת אברהם יחזקאל (פ/293</w:t>
      </w:r>
      <w:r>
        <w:rPr>
          <w:rFonts w:cs="David"/>
          <w:sz w:val="26"/>
          <w:szCs w:val="26"/>
          <w:rtl/>
        </w:rPr>
        <w:t xml:space="preserve">), יהודית נאות (פ/2550) ואברהם יחזקאל (פ/3875); הצעות חוק זהות הונחו על שולחן הכנסת השש-עשרה על ידי חבר הכנסת אילן ליבוביץ וקבוצת חברי הכנסת (פ/1692) ועל ידי חבר הכנסת אריה אלדד (פ/3982); הצעות חוק </w:t>
      </w:r>
    </w:p>
    <w:p w:rsidR="00000000" w:rsidRDefault="007A2B16">
      <w:pPr>
        <w:spacing w:line="360" w:lineRule="auto"/>
        <w:jc w:val="both"/>
        <w:rPr>
          <w:rFonts w:cs="David"/>
          <w:sz w:val="26"/>
          <w:szCs w:val="26"/>
          <w:rtl/>
        </w:rPr>
      </w:pPr>
    </w:p>
    <w:p w:rsidR="00000000" w:rsidRDefault="007A2B16">
      <w:pPr>
        <w:spacing w:line="360" w:lineRule="auto"/>
        <w:jc w:val="both"/>
        <w:rPr>
          <w:rFonts w:cs="David"/>
          <w:sz w:val="26"/>
          <w:szCs w:val="26"/>
          <w:rtl/>
        </w:rPr>
      </w:pPr>
      <w:r>
        <w:rPr>
          <w:rFonts w:cs="David"/>
          <w:sz w:val="26"/>
          <w:szCs w:val="26"/>
          <w:rtl/>
        </w:rPr>
        <w:lastRenderedPageBreak/>
        <w:t>דומות בעיקרן הונחו על שולחן הכנסת השש-עשרה על ידי חבר הכ</w:t>
      </w:r>
      <w:r>
        <w:rPr>
          <w:rFonts w:cs="David"/>
          <w:sz w:val="26"/>
          <w:szCs w:val="26"/>
          <w:rtl/>
        </w:rPr>
        <w:t>נסת רשף חן וקבוצת חברי הכנסת (פ/284) ועל ידי חברת הכסת גילה פינקלשטיין (פ/1993).</w:t>
      </w:r>
    </w:p>
    <w:p w:rsidR="00000000" w:rsidRDefault="007A2B16">
      <w:pPr>
        <w:spacing w:line="360" w:lineRule="auto"/>
        <w:jc w:val="both"/>
        <w:rPr>
          <w:rFonts w:cs="David"/>
          <w:sz w:val="26"/>
          <w:szCs w:val="26"/>
          <w:rtl/>
        </w:rPr>
      </w:pPr>
    </w:p>
    <w:p w:rsidR="00000000" w:rsidRDefault="007A2B16">
      <w:pPr>
        <w:spacing w:line="360" w:lineRule="auto"/>
        <w:jc w:val="both"/>
        <w:rPr>
          <w:rFonts w:cs="David"/>
          <w:sz w:val="26"/>
          <w:szCs w:val="26"/>
          <w:rtl/>
        </w:rPr>
      </w:pPr>
      <w:r>
        <w:rPr>
          <w:rFonts w:cs="David"/>
          <w:sz w:val="26"/>
          <w:szCs w:val="26"/>
          <w:rtl/>
        </w:rPr>
        <w:t>--------------------------</w:t>
      </w:r>
    </w:p>
    <w:p w:rsidR="00000000" w:rsidRDefault="007A2B16">
      <w:pPr>
        <w:spacing w:line="360" w:lineRule="auto"/>
        <w:jc w:val="both"/>
        <w:rPr>
          <w:rFonts w:cs="David"/>
          <w:sz w:val="26"/>
          <w:szCs w:val="26"/>
          <w:rtl/>
        </w:rPr>
      </w:pPr>
      <w:r>
        <w:rPr>
          <w:rFonts w:cs="David"/>
          <w:sz w:val="26"/>
          <w:szCs w:val="26"/>
          <w:rtl/>
        </w:rPr>
        <w:t>הוגשה ליו"ר הכנסת והסגנים</w:t>
      </w:r>
    </w:p>
    <w:p w:rsidR="00000000" w:rsidRDefault="007A2B16">
      <w:pPr>
        <w:spacing w:line="360" w:lineRule="auto"/>
        <w:jc w:val="both"/>
        <w:rPr>
          <w:rFonts w:cs="David"/>
          <w:sz w:val="26"/>
          <w:szCs w:val="26"/>
          <w:rtl/>
        </w:rPr>
      </w:pPr>
      <w:r>
        <w:rPr>
          <w:rFonts w:cs="David"/>
          <w:sz w:val="26"/>
          <w:szCs w:val="26"/>
          <w:rtl/>
        </w:rPr>
        <w:t>והונחה על שולחן הכנסת ביום</w:t>
      </w:r>
    </w:p>
    <w:p w:rsidR="00000000" w:rsidRDefault="007A2B16">
      <w:pPr>
        <w:spacing w:line="360" w:lineRule="auto"/>
        <w:jc w:val="both"/>
        <w:rPr>
          <w:rFonts w:cs="David"/>
          <w:sz w:val="26"/>
          <w:szCs w:val="26"/>
          <w:rtl/>
        </w:rPr>
      </w:pPr>
      <w:r>
        <w:rPr>
          <w:rFonts w:cs="David"/>
          <w:sz w:val="26"/>
          <w:szCs w:val="26"/>
          <w:rtl/>
        </w:rPr>
        <w:t>ט"ז בסיוון התשס"ו - 12.6.06</w:t>
      </w:r>
    </w:p>
    <w:p w:rsidR="00000000" w:rsidRDefault="007A2B16">
      <w:pPr>
        <w:spacing w:line="360" w:lineRule="auto"/>
        <w:jc w:val="both"/>
        <w:rPr>
          <w:rFonts w:ascii="Courier New" w:hAnsi="Courier New" w:cs="David"/>
          <w:sz w:val="26"/>
          <w:szCs w:val="26"/>
          <w:rtl/>
        </w:rPr>
      </w:pPr>
    </w:p>
    <w:p w:rsidR="00000000" w:rsidRDefault="007A2B16">
      <w:pPr>
        <w:pStyle w:val="a3"/>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2B16">
      <w:r>
        <w:separator/>
      </w:r>
    </w:p>
  </w:endnote>
  <w:endnote w:type="continuationSeparator" w:id="0">
    <w:p w:rsidR="00000000" w:rsidRDefault="007A2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2B16">
      <w:r>
        <w:separator/>
      </w:r>
    </w:p>
  </w:footnote>
  <w:footnote w:type="continuationSeparator" w:id="0">
    <w:p w:rsidR="00000000" w:rsidRDefault="007A2B16">
      <w:r>
        <w:continuationSeparator/>
      </w:r>
    </w:p>
  </w:footnote>
  <w:footnote w:id="1">
    <w:p w:rsidR="00000000" w:rsidRDefault="007A2B16">
      <w:pPr>
        <w:pStyle w:val="a8"/>
      </w:pPr>
      <w:r>
        <w:rPr>
          <w:rStyle w:val="aa"/>
          <w:rFonts w:cs="David"/>
          <w:rtl/>
        </w:rPr>
        <w:footnoteRef/>
      </w:r>
      <w:r>
        <w:rPr>
          <w:rFonts w:cs="David"/>
        </w:rPr>
        <w:t xml:space="preserve"> </w:t>
      </w:r>
      <w:r>
        <w:rPr>
          <w:rFonts w:cs="David"/>
          <w:rtl/>
        </w:rPr>
        <w:t>ס"</w:t>
      </w:r>
      <w:r>
        <w:rPr>
          <w:rFonts w:cs="David"/>
          <w:rtl/>
        </w:rPr>
        <w:t>ח התשל"ה, עמ' 211.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2B16">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7A2B1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1826äöòú çå÷ äøùåéåú äî÷åîéåú (áçéøú øàù òéø åñâðéå åëäåðúí).doc"/>
    <w:docVar w:name="StartMode" w:val="2"/>
  </w:docVars>
  <w:rsids>
    <w:rsidRoot w:val="007A2B16"/>
    <w:rsid w:val="007A2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sz w:val="28"/>
      <w:szCs w:val="28"/>
      <w:u w:val="single"/>
    </w:rPr>
  </w:style>
  <w:style w:type="paragraph" w:styleId="2">
    <w:name w:val="heading 2"/>
    <w:basedOn w:val="a"/>
    <w:next w:val="a"/>
    <w:link w:val="20"/>
    <w:uiPriority w:val="99"/>
    <w:qFormat/>
    <w:pPr>
      <w:keepNext/>
      <w:jc w:val="center"/>
      <w:outlineLvl w:val="1"/>
    </w:pPr>
    <w:rPr>
      <w:sz w:val="32"/>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250</Words>
  <Characters>1252</Characters>
  <Application>Microsoft Office Word</Application>
  <DocSecurity>0</DocSecurity>
  <Lines>10</Lines>
  <Paragraphs>2</Paragraphs>
  <ScaleCrop>false</ScaleCrop>
  <Company>knesset</Company>
  <LinksUpToDate>false</LinksUpToDate>
  <CharactersWithSpaces>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(בחירת ראש עיר וסגניו וכהונתו) (תיקון - הגלת כהונת ראש רשות מקומית), התשס"ו-2006</dc:title>
  <dc:subject/>
  <dc:creator>Knesset</dc:creator>
  <cp:keywords/>
  <dc:description/>
  <cp:lastModifiedBy>שמואל כוכב</cp:lastModifiedBy>
  <cp:revision>2</cp:revision>
  <cp:lastPrinted>2006-06-06T09:20:00Z</cp:lastPrinted>
  <dcterms:created xsi:type="dcterms:W3CDTF">2015-02-03T19:15:00Z</dcterms:created>
  <dcterms:modified xsi:type="dcterms:W3CDTF">2015-02-03T19:15:00Z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מתן ולנאי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03196606</vt:lpwstr>
  </property>
  <property fmtid="{D5CDD505-2E9C-101B-9397-08002B2CF9AE}" pid="10" name="מספר הצעת חוק למיון">
    <vt:lpwstr>480</vt:lpwstr>
  </property>
  <property fmtid="{D5CDD505-2E9C-101B-9397-08002B2CF9AE}" pid="11" name="SDDocDate">
    <vt:lpwstr>2006-06-07T00:00:00Z</vt:lpwstr>
  </property>
  <property fmtid="{D5CDD505-2E9C-101B-9397-08002B2CF9AE}" pid="12" name="SDHebDate">
    <vt:lpwstr>י"א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פ/480/17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