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955AA">
      <w:pPr>
        <w:pStyle w:val="a3"/>
        <w:rPr>
          <w:rFonts w:cs="David"/>
          <w:b w:val="0"/>
          <w:bCs w:val="0"/>
          <w:sz w:val="26"/>
          <w:szCs w:val="26"/>
          <w:u w:val="none"/>
          <w:rtl/>
        </w:rPr>
      </w:pPr>
      <w:bookmarkStart w:id="0" w:name="_GoBack"/>
      <w:bookmarkEnd w:id="0"/>
      <w:r>
        <w:rPr>
          <w:rFonts w:cs="David"/>
          <w:u w:val="none"/>
          <w:rtl/>
        </w:rPr>
        <w:t>הכנסת השבע-עשרה</w:t>
      </w:r>
    </w:p>
    <w:p w:rsidR="00000000" w:rsidRDefault="00A955AA">
      <w:pPr>
        <w:pStyle w:val="a3"/>
        <w:rPr>
          <w:rFonts w:cs="David"/>
          <w:b w:val="0"/>
          <w:bCs w:val="0"/>
          <w:sz w:val="26"/>
          <w:szCs w:val="26"/>
          <w:u w:val="none"/>
          <w:rtl/>
        </w:rPr>
      </w:pPr>
    </w:p>
    <w:p w:rsidR="00000000" w:rsidRDefault="00A955AA">
      <w:pPr>
        <w:pStyle w:val="a3"/>
        <w:rPr>
          <w:rFonts w:cs="David"/>
          <w:b w:val="0"/>
          <w:bCs w:val="0"/>
          <w:sz w:val="26"/>
          <w:szCs w:val="26"/>
          <w:u w:val="none"/>
          <w:rtl/>
        </w:rPr>
      </w:pPr>
    </w:p>
    <w:tbl>
      <w:tblPr>
        <w:tblpPr w:leftFromText="180" w:rightFromText="180" w:vertAnchor="text" w:tblpY="1"/>
        <w:tblOverlap w:val="never"/>
        <w:bidiVisual/>
        <w:tblW w:w="0" w:type="auto"/>
        <w:tblBorders>
          <w:bottom w:val="single" w:sz="4" w:space="0" w:color="auto"/>
        </w:tblBorders>
        <w:tblLook w:val="0000" w:firstRow="0" w:lastRow="0" w:firstColumn="0" w:lastColumn="0" w:noHBand="0" w:noVBand="0"/>
      </w:tblPr>
      <w:tblGrid>
        <w:gridCol w:w="2863"/>
        <w:gridCol w:w="2239"/>
      </w:tblGrid>
      <w:tr w:rsidR="00000000">
        <w:tblPrEx>
          <w:tblCellMar>
            <w:top w:w="0" w:type="dxa"/>
            <w:bottom w:w="0" w:type="dxa"/>
          </w:tblCellMar>
        </w:tblPrEx>
        <w:tc>
          <w:tcPr>
            <w:tcW w:w="2863" w:type="dxa"/>
            <w:tcBorders>
              <w:top w:val="nil"/>
              <w:left w:val="nil"/>
              <w:bottom w:val="nil"/>
              <w:right w:val="nil"/>
            </w:tcBorders>
          </w:tcPr>
          <w:p w:rsidR="00000000" w:rsidRDefault="00A955AA">
            <w:pPr>
              <w:spacing w:after="120"/>
              <w:rPr>
                <w:rFonts w:cs="David"/>
                <w:sz w:val="26"/>
                <w:szCs w:val="26"/>
              </w:rPr>
            </w:pPr>
            <w:r>
              <w:rPr>
                <w:rFonts w:cs="David"/>
                <w:sz w:val="26"/>
                <w:szCs w:val="26"/>
                <w:rtl/>
              </w:rPr>
              <w:t>הצעת חוק של חברי הכנסת</w:t>
            </w:r>
          </w:p>
        </w:tc>
        <w:tc>
          <w:tcPr>
            <w:tcW w:w="2239" w:type="dxa"/>
            <w:tcBorders>
              <w:top w:val="nil"/>
              <w:left w:val="nil"/>
              <w:bottom w:val="nil"/>
              <w:right w:val="nil"/>
            </w:tcBorders>
          </w:tcPr>
          <w:p w:rsidR="00000000" w:rsidRDefault="00A955AA">
            <w:pPr>
              <w:spacing w:after="120"/>
              <w:rPr>
                <w:rFonts w:cs="David"/>
                <w:b/>
                <w:bCs/>
                <w:sz w:val="26"/>
                <w:szCs w:val="26"/>
              </w:rPr>
            </w:pPr>
            <w:r>
              <w:rPr>
                <w:rFonts w:cs="David"/>
                <w:b/>
                <w:bCs/>
                <w:sz w:val="26"/>
                <w:szCs w:val="26"/>
                <w:rtl/>
              </w:rPr>
              <w:t>יורי שטרן</w:t>
            </w:r>
          </w:p>
        </w:tc>
      </w:tr>
      <w:tr w:rsidR="00000000">
        <w:tblPrEx>
          <w:tblCellMar>
            <w:top w:w="0" w:type="dxa"/>
            <w:bottom w:w="0" w:type="dxa"/>
          </w:tblCellMar>
        </w:tblPrEx>
        <w:tc>
          <w:tcPr>
            <w:tcW w:w="2863" w:type="dxa"/>
            <w:tcBorders>
              <w:top w:val="nil"/>
              <w:left w:val="nil"/>
              <w:bottom w:val="nil"/>
              <w:right w:val="nil"/>
            </w:tcBorders>
          </w:tcPr>
          <w:p w:rsidR="00000000" w:rsidRDefault="00A955AA">
            <w:pPr>
              <w:spacing w:after="120"/>
              <w:rPr>
                <w:rFonts w:cs="David"/>
                <w:sz w:val="26"/>
                <w:szCs w:val="26"/>
              </w:rPr>
            </w:pPr>
          </w:p>
        </w:tc>
        <w:tc>
          <w:tcPr>
            <w:tcW w:w="2239" w:type="dxa"/>
            <w:tcBorders>
              <w:top w:val="nil"/>
              <w:left w:val="nil"/>
              <w:bottom w:val="nil"/>
              <w:right w:val="nil"/>
            </w:tcBorders>
          </w:tcPr>
          <w:p w:rsidR="00000000" w:rsidRDefault="00A955AA">
            <w:pPr>
              <w:spacing w:after="120"/>
              <w:rPr>
                <w:rFonts w:cs="David"/>
                <w:sz w:val="26"/>
                <w:szCs w:val="26"/>
              </w:rPr>
            </w:pPr>
            <w:r>
              <w:rPr>
                <w:rFonts w:cs="David"/>
                <w:sz w:val="26"/>
                <w:szCs w:val="26"/>
                <w:rtl/>
              </w:rPr>
              <w:t>יצחק אהרונוביץ</w:t>
            </w:r>
          </w:p>
        </w:tc>
      </w:tr>
      <w:tr w:rsidR="00000000">
        <w:tblPrEx>
          <w:tblCellMar>
            <w:top w:w="0" w:type="dxa"/>
            <w:bottom w:w="0" w:type="dxa"/>
          </w:tblCellMar>
        </w:tblPrEx>
        <w:tc>
          <w:tcPr>
            <w:tcW w:w="2863" w:type="dxa"/>
            <w:tcBorders>
              <w:top w:val="nil"/>
              <w:left w:val="nil"/>
              <w:bottom w:val="nil"/>
              <w:right w:val="nil"/>
            </w:tcBorders>
          </w:tcPr>
          <w:p w:rsidR="00000000" w:rsidRDefault="00A955AA">
            <w:pPr>
              <w:spacing w:after="120"/>
              <w:rPr>
                <w:rFonts w:cs="David"/>
                <w:sz w:val="26"/>
                <w:szCs w:val="26"/>
              </w:rPr>
            </w:pPr>
          </w:p>
        </w:tc>
        <w:tc>
          <w:tcPr>
            <w:tcW w:w="2239" w:type="dxa"/>
            <w:tcBorders>
              <w:top w:val="nil"/>
              <w:left w:val="nil"/>
              <w:bottom w:val="nil"/>
              <w:right w:val="nil"/>
            </w:tcBorders>
          </w:tcPr>
          <w:p w:rsidR="00000000" w:rsidRDefault="00A955AA">
            <w:pPr>
              <w:spacing w:after="120"/>
              <w:rPr>
                <w:rFonts w:cs="David"/>
                <w:sz w:val="26"/>
                <w:szCs w:val="26"/>
              </w:rPr>
            </w:pPr>
            <w:r>
              <w:rPr>
                <w:rFonts w:cs="David"/>
                <w:sz w:val="26"/>
                <w:szCs w:val="26"/>
                <w:rtl/>
              </w:rPr>
              <w:t xml:space="preserve">רוברט אילטוב </w:t>
            </w:r>
          </w:p>
        </w:tc>
      </w:tr>
      <w:tr w:rsidR="00000000">
        <w:tblPrEx>
          <w:tblCellMar>
            <w:top w:w="0" w:type="dxa"/>
            <w:bottom w:w="0" w:type="dxa"/>
          </w:tblCellMar>
        </w:tblPrEx>
        <w:tc>
          <w:tcPr>
            <w:tcW w:w="2863" w:type="dxa"/>
            <w:tcBorders>
              <w:top w:val="nil"/>
              <w:left w:val="nil"/>
              <w:bottom w:val="nil"/>
              <w:right w:val="nil"/>
            </w:tcBorders>
          </w:tcPr>
          <w:p w:rsidR="00000000" w:rsidRDefault="00A955AA">
            <w:pPr>
              <w:spacing w:after="120"/>
              <w:rPr>
                <w:rFonts w:cs="David"/>
                <w:sz w:val="26"/>
                <w:szCs w:val="26"/>
              </w:rPr>
            </w:pPr>
          </w:p>
        </w:tc>
        <w:tc>
          <w:tcPr>
            <w:tcW w:w="2239" w:type="dxa"/>
            <w:tcBorders>
              <w:top w:val="nil"/>
              <w:left w:val="nil"/>
              <w:bottom w:val="nil"/>
              <w:right w:val="nil"/>
            </w:tcBorders>
          </w:tcPr>
          <w:p w:rsidR="00000000" w:rsidRDefault="00A955AA">
            <w:pPr>
              <w:spacing w:after="120"/>
              <w:rPr>
                <w:rFonts w:cs="David"/>
                <w:sz w:val="26"/>
                <w:szCs w:val="26"/>
                <w:rtl/>
              </w:rPr>
            </w:pPr>
            <w:r>
              <w:rPr>
                <w:rFonts w:cs="David"/>
                <w:sz w:val="26"/>
                <w:szCs w:val="26"/>
                <w:rtl/>
              </w:rPr>
              <w:t>ישראל חסון</w:t>
            </w:r>
          </w:p>
        </w:tc>
      </w:tr>
      <w:tr w:rsidR="00000000">
        <w:tblPrEx>
          <w:tblCellMar>
            <w:top w:w="0" w:type="dxa"/>
            <w:bottom w:w="0" w:type="dxa"/>
          </w:tblCellMar>
        </w:tblPrEx>
        <w:tc>
          <w:tcPr>
            <w:tcW w:w="2863" w:type="dxa"/>
            <w:tcBorders>
              <w:top w:val="nil"/>
              <w:left w:val="nil"/>
              <w:bottom w:val="nil"/>
              <w:right w:val="nil"/>
            </w:tcBorders>
          </w:tcPr>
          <w:p w:rsidR="00000000" w:rsidRDefault="00A955AA">
            <w:pPr>
              <w:spacing w:after="120"/>
              <w:rPr>
                <w:rFonts w:cs="David"/>
                <w:sz w:val="26"/>
                <w:szCs w:val="26"/>
              </w:rPr>
            </w:pPr>
          </w:p>
        </w:tc>
        <w:tc>
          <w:tcPr>
            <w:tcW w:w="2239" w:type="dxa"/>
            <w:tcBorders>
              <w:top w:val="nil"/>
              <w:left w:val="nil"/>
              <w:bottom w:val="nil"/>
              <w:right w:val="nil"/>
            </w:tcBorders>
          </w:tcPr>
          <w:p w:rsidR="00000000" w:rsidRDefault="00A955AA">
            <w:pPr>
              <w:spacing w:after="120"/>
              <w:rPr>
                <w:rFonts w:cs="David"/>
                <w:sz w:val="26"/>
                <w:szCs w:val="26"/>
                <w:rtl/>
              </w:rPr>
            </w:pPr>
            <w:r>
              <w:rPr>
                <w:rFonts w:cs="David"/>
                <w:sz w:val="26"/>
                <w:szCs w:val="26"/>
                <w:rtl/>
              </w:rPr>
              <w:t>אסתרינה טרטמן</w:t>
            </w:r>
          </w:p>
        </w:tc>
      </w:tr>
      <w:tr w:rsidR="00000000">
        <w:tblPrEx>
          <w:tblCellMar>
            <w:top w:w="0" w:type="dxa"/>
            <w:bottom w:w="0" w:type="dxa"/>
          </w:tblCellMar>
        </w:tblPrEx>
        <w:trPr>
          <w:trHeight w:val="439"/>
        </w:trPr>
        <w:tc>
          <w:tcPr>
            <w:tcW w:w="2863" w:type="dxa"/>
            <w:tcBorders>
              <w:top w:val="nil"/>
              <w:left w:val="nil"/>
              <w:bottom w:val="single" w:sz="4" w:space="0" w:color="auto"/>
              <w:right w:val="nil"/>
            </w:tcBorders>
          </w:tcPr>
          <w:p w:rsidR="00000000" w:rsidRDefault="00A955AA">
            <w:pPr>
              <w:spacing w:after="120"/>
              <w:rPr>
                <w:rFonts w:cs="David"/>
                <w:sz w:val="26"/>
                <w:szCs w:val="26"/>
              </w:rPr>
            </w:pPr>
          </w:p>
        </w:tc>
        <w:tc>
          <w:tcPr>
            <w:tcW w:w="2239" w:type="dxa"/>
            <w:tcBorders>
              <w:top w:val="nil"/>
              <w:left w:val="nil"/>
              <w:bottom w:val="single" w:sz="4" w:space="0" w:color="auto"/>
              <w:right w:val="nil"/>
            </w:tcBorders>
          </w:tcPr>
          <w:p w:rsidR="00000000" w:rsidRDefault="00A955AA">
            <w:pPr>
              <w:spacing w:after="120"/>
              <w:rPr>
                <w:rFonts w:cs="David"/>
                <w:sz w:val="26"/>
                <w:szCs w:val="26"/>
              </w:rPr>
            </w:pPr>
            <w:r>
              <w:rPr>
                <w:rFonts w:cs="David"/>
                <w:sz w:val="26"/>
                <w:szCs w:val="26"/>
                <w:rtl/>
              </w:rPr>
              <w:t>סופה לנדבר</w:t>
            </w:r>
          </w:p>
        </w:tc>
      </w:tr>
    </w:tbl>
    <w:p w:rsidR="00000000" w:rsidRDefault="00A955AA">
      <w:pPr>
        <w:rPr>
          <w:rFonts w:cs="David"/>
          <w:sz w:val="26"/>
          <w:szCs w:val="26"/>
          <w:rtl/>
        </w:rPr>
      </w:pPr>
    </w:p>
    <w:p w:rsidR="00000000" w:rsidRDefault="00A955AA">
      <w:pPr>
        <w:rPr>
          <w:rFonts w:cs="David"/>
          <w:sz w:val="26"/>
          <w:szCs w:val="26"/>
          <w:rtl/>
        </w:rPr>
      </w:pPr>
    </w:p>
    <w:p w:rsidR="00000000" w:rsidRDefault="00A955AA">
      <w:pPr>
        <w:jc w:val="center"/>
        <w:rPr>
          <w:rFonts w:cs="David"/>
          <w:sz w:val="26"/>
          <w:szCs w:val="26"/>
          <w:rtl/>
        </w:rPr>
      </w:pPr>
    </w:p>
    <w:p w:rsidR="00000000" w:rsidRDefault="00A955AA">
      <w:pPr>
        <w:jc w:val="center"/>
        <w:rPr>
          <w:rFonts w:cs="David"/>
          <w:sz w:val="26"/>
          <w:szCs w:val="26"/>
          <w:rtl/>
        </w:rPr>
      </w:pPr>
    </w:p>
    <w:p w:rsidR="00000000" w:rsidRDefault="00A955AA">
      <w:pPr>
        <w:jc w:val="center"/>
        <w:rPr>
          <w:rFonts w:cs="David"/>
          <w:sz w:val="26"/>
          <w:szCs w:val="26"/>
          <w:rtl/>
        </w:rPr>
      </w:pPr>
    </w:p>
    <w:p w:rsidR="00000000" w:rsidRDefault="00A955AA">
      <w:pPr>
        <w:jc w:val="center"/>
        <w:rPr>
          <w:rFonts w:cs="David"/>
          <w:sz w:val="32"/>
          <w:szCs w:val="32"/>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p>
    <w:p w:rsidR="00000000" w:rsidRDefault="00A955AA">
      <w:pPr>
        <w:rPr>
          <w:rFonts w:cs="David"/>
          <w:sz w:val="26"/>
          <w:szCs w:val="26"/>
          <w:rtl/>
        </w:rPr>
      </w:pPr>
    </w:p>
    <w:p w:rsidR="00000000" w:rsidRDefault="00A955AA">
      <w:pPr>
        <w:rPr>
          <w:rFonts w:cs="David"/>
          <w:sz w:val="26"/>
          <w:szCs w:val="26"/>
          <w:rtl/>
        </w:rPr>
      </w:pPr>
    </w:p>
    <w:p w:rsidR="00000000" w:rsidRDefault="00A955AA">
      <w:pPr>
        <w:rPr>
          <w:rFonts w:cs="David"/>
          <w:sz w:val="26"/>
          <w:szCs w:val="26"/>
          <w:rtl/>
        </w:rPr>
      </w:pPr>
    </w:p>
    <w:p w:rsidR="00000000" w:rsidRDefault="00A955AA">
      <w:pPr>
        <w:rPr>
          <w:rFonts w:cs="David"/>
          <w:b/>
          <w:bCs/>
          <w:sz w:val="26"/>
          <w:szCs w:val="26"/>
          <w:rtl/>
        </w:rPr>
      </w:pPr>
      <w:r>
        <w:rPr>
          <w:rFonts w:cs="David"/>
          <w:sz w:val="26"/>
          <w:szCs w:val="26"/>
          <w:rtl/>
        </w:rPr>
        <w:t xml:space="preserve">           </w:t>
      </w:r>
      <w:r>
        <w:rPr>
          <w:rFonts w:cs="David"/>
          <w:sz w:val="26"/>
          <w:szCs w:val="26"/>
          <w:rtl/>
        </w:rPr>
        <w:t xml:space="preserve">                                                                                     </w:t>
      </w:r>
      <w:r>
        <w:rPr>
          <w:rFonts w:cs="David"/>
          <w:b/>
          <w:bCs/>
          <w:sz w:val="26"/>
          <w:szCs w:val="26"/>
          <w:rtl/>
        </w:rPr>
        <w:t>פ/1148/17</w:t>
      </w:r>
    </w:p>
    <w:p w:rsidR="00000000" w:rsidRDefault="00A955AA">
      <w:pPr>
        <w:rPr>
          <w:rFonts w:cs="David"/>
          <w:sz w:val="26"/>
          <w:szCs w:val="26"/>
          <w:rtl/>
        </w:rPr>
      </w:pPr>
    </w:p>
    <w:p w:rsidR="00000000" w:rsidRDefault="00A955AA">
      <w:pPr>
        <w:rPr>
          <w:rFonts w:cs="David"/>
          <w:sz w:val="26"/>
          <w:szCs w:val="26"/>
          <w:rtl/>
        </w:rPr>
      </w:pPr>
    </w:p>
    <w:p w:rsidR="00000000" w:rsidRDefault="00A955AA">
      <w:pPr>
        <w:jc w:val="center"/>
        <w:rPr>
          <w:rFonts w:cs="David"/>
          <w:b/>
          <w:bCs/>
          <w:sz w:val="28"/>
          <w:szCs w:val="28"/>
          <w:rtl/>
        </w:rPr>
      </w:pPr>
      <w:r>
        <w:rPr>
          <w:rFonts w:cs="David"/>
          <w:b/>
          <w:bCs/>
          <w:sz w:val="28"/>
          <w:szCs w:val="28"/>
          <w:rtl/>
        </w:rPr>
        <w:fldChar w:fldCharType="begin">
          <w:ffData>
            <w:name w:val="Title"/>
            <w:enabled/>
            <w:calcOnExit w:val="0"/>
            <w:textInput>
              <w:default w:val="הצעת חוק ועדות רפואיות (מזכיר ועדה וחובת גילוי מידע), התשס&quot;ו-2006"/>
            </w:textInput>
          </w:ffData>
        </w:fldChar>
      </w:r>
      <w:r>
        <w:rPr>
          <w:rFonts w:cs="David"/>
          <w:b/>
          <w:bCs/>
          <w:sz w:val="28"/>
          <w:szCs w:val="28"/>
          <w:rtl/>
        </w:rPr>
        <w:instrText xml:space="preserve"> </w:instrText>
      </w:r>
      <w:r>
        <w:rPr>
          <w:rFonts w:cs="David"/>
          <w:b/>
          <w:bCs/>
          <w:sz w:val="28"/>
          <w:szCs w:val="28"/>
        </w:rPr>
        <w:instrText>FORMTEXT</w:instrText>
      </w:r>
      <w:r>
        <w:rPr>
          <w:rFonts w:cs="David"/>
          <w:b/>
          <w:bCs/>
          <w:sz w:val="28"/>
          <w:szCs w:val="28"/>
          <w:rtl/>
        </w:rPr>
        <w:instrText xml:space="preserve"> </w:instrText>
      </w:r>
      <w:r>
        <w:rPr>
          <w:rFonts w:cs="David"/>
          <w:b/>
          <w:bCs/>
          <w:sz w:val="28"/>
          <w:szCs w:val="28"/>
          <w:rtl/>
        </w:rPr>
      </w:r>
      <w:r>
        <w:rPr>
          <w:rFonts w:cs="David"/>
          <w:b/>
          <w:bCs/>
          <w:sz w:val="28"/>
          <w:szCs w:val="28"/>
          <w:rtl/>
        </w:rPr>
        <w:fldChar w:fldCharType="separate"/>
      </w:r>
      <w:r>
        <w:rPr>
          <w:rFonts w:cs="David"/>
          <w:b/>
          <w:bCs/>
          <w:sz w:val="28"/>
          <w:szCs w:val="28"/>
          <w:rtl/>
        </w:rPr>
        <w:t>הצעת חוק ועדות רפואיות (מזכיר ועדה וחובת גילוי מידע), התשס"ו-2006</w:t>
      </w:r>
      <w:r>
        <w:rPr>
          <w:rFonts w:cs="David"/>
          <w:b/>
          <w:bCs/>
          <w:sz w:val="28"/>
          <w:szCs w:val="28"/>
          <w:rtl/>
        </w:rPr>
        <w:fldChar w:fldCharType="end"/>
      </w:r>
    </w:p>
    <w:p w:rsidR="00000000" w:rsidRDefault="00A955AA">
      <w:pPr>
        <w:rPr>
          <w:rFonts w:cs="David"/>
          <w:sz w:val="26"/>
          <w:szCs w:val="26"/>
          <w:rtl/>
        </w:rPr>
      </w:pPr>
    </w:p>
    <w:p w:rsidR="00000000" w:rsidRDefault="00A955AA">
      <w:pPr>
        <w:spacing w:after="120"/>
        <w:rPr>
          <w:rFonts w:cs="David"/>
          <w:sz w:val="26"/>
          <w:szCs w:val="26"/>
          <w:rtl/>
        </w:rPr>
      </w:pPr>
    </w:p>
    <w:tbl>
      <w:tblPr>
        <w:bidiVisual/>
        <w:tblW w:w="8758" w:type="dxa"/>
        <w:tblLook w:val="0000" w:firstRow="0" w:lastRow="0" w:firstColumn="0" w:lastColumn="0" w:noHBand="0" w:noVBand="0"/>
      </w:tblPr>
      <w:tblGrid>
        <w:gridCol w:w="1034"/>
        <w:gridCol w:w="540"/>
        <w:gridCol w:w="596"/>
        <w:gridCol w:w="6588"/>
      </w:tblGrid>
      <w:tr w:rsidR="00000000">
        <w:tblPrEx>
          <w:tblCellMar>
            <w:top w:w="0" w:type="dxa"/>
            <w:bottom w:w="0" w:type="dxa"/>
          </w:tblCellMar>
        </w:tblPrEx>
        <w:trPr>
          <w:cantSplit/>
        </w:trPr>
        <w:tc>
          <w:tcPr>
            <w:tcW w:w="1034" w:type="dxa"/>
            <w:tcBorders>
              <w:top w:val="nil"/>
              <w:left w:val="nil"/>
              <w:bottom w:val="nil"/>
              <w:right w:val="nil"/>
            </w:tcBorders>
          </w:tcPr>
          <w:p w:rsidR="00000000" w:rsidRDefault="00A955AA">
            <w:pPr>
              <w:spacing w:after="120"/>
              <w:jc w:val="both"/>
              <w:rPr>
                <w:rFonts w:cs="David"/>
                <w:sz w:val="26"/>
                <w:szCs w:val="26"/>
              </w:rPr>
            </w:pPr>
            <w:r>
              <w:rPr>
                <w:rFonts w:cs="David"/>
                <w:sz w:val="26"/>
                <w:szCs w:val="26"/>
                <w:rtl/>
              </w:rPr>
              <w:t>הגדרות</w:t>
            </w:r>
          </w:p>
        </w:tc>
        <w:tc>
          <w:tcPr>
            <w:tcW w:w="540" w:type="dxa"/>
            <w:tcBorders>
              <w:top w:val="nil"/>
              <w:left w:val="nil"/>
              <w:bottom w:val="nil"/>
              <w:right w:val="nil"/>
            </w:tcBorders>
          </w:tcPr>
          <w:p w:rsidR="00000000" w:rsidRDefault="00A955AA">
            <w:pPr>
              <w:spacing w:after="120"/>
              <w:jc w:val="both"/>
              <w:rPr>
                <w:rFonts w:cs="David"/>
                <w:sz w:val="26"/>
                <w:szCs w:val="26"/>
              </w:rPr>
            </w:pPr>
            <w:r>
              <w:rPr>
                <w:rFonts w:cs="David"/>
                <w:sz w:val="26"/>
                <w:szCs w:val="26"/>
                <w:rtl/>
              </w:rPr>
              <w:t>1.</w:t>
            </w:r>
          </w:p>
        </w:tc>
        <w:tc>
          <w:tcPr>
            <w:tcW w:w="7184" w:type="dxa"/>
            <w:gridSpan w:val="2"/>
            <w:tcBorders>
              <w:top w:val="nil"/>
              <w:left w:val="nil"/>
              <w:bottom w:val="nil"/>
              <w:right w:val="nil"/>
            </w:tcBorders>
          </w:tcPr>
          <w:p w:rsidR="00000000" w:rsidRDefault="00A955AA">
            <w:pPr>
              <w:spacing w:after="120"/>
              <w:jc w:val="both"/>
              <w:rPr>
                <w:rFonts w:cs="David"/>
                <w:sz w:val="26"/>
                <w:szCs w:val="26"/>
                <w:rtl/>
              </w:rPr>
            </w:pPr>
            <w:r>
              <w:rPr>
                <w:rFonts w:cs="David"/>
                <w:sz w:val="26"/>
                <w:szCs w:val="26"/>
                <w:rtl/>
              </w:rPr>
              <w:t>"ועדה רפואית" – ועדה רפואית על פי כל דין, ולר</w:t>
            </w:r>
            <w:r>
              <w:rPr>
                <w:rFonts w:cs="David"/>
                <w:sz w:val="26"/>
                <w:szCs w:val="26"/>
                <w:rtl/>
              </w:rPr>
              <w:t>בות ועדת ערר;</w:t>
            </w:r>
          </w:p>
          <w:p w:rsidR="00000000" w:rsidRDefault="00A955AA">
            <w:pPr>
              <w:spacing w:after="120"/>
              <w:jc w:val="both"/>
              <w:rPr>
                <w:rFonts w:cs="David"/>
                <w:sz w:val="26"/>
                <w:szCs w:val="26"/>
                <w:rtl/>
              </w:rPr>
            </w:pPr>
            <w:r>
              <w:rPr>
                <w:rFonts w:cs="David"/>
                <w:sz w:val="26"/>
                <w:szCs w:val="26"/>
                <w:rtl/>
              </w:rPr>
              <w:t>"השר" – שר המשפטים.</w:t>
            </w:r>
          </w:p>
          <w:p w:rsidR="00000000" w:rsidRDefault="00A955AA">
            <w:pPr>
              <w:spacing w:after="120"/>
              <w:jc w:val="both"/>
              <w:rPr>
                <w:rFonts w:cs="David"/>
                <w:sz w:val="26"/>
                <w:szCs w:val="26"/>
              </w:rPr>
            </w:pPr>
          </w:p>
        </w:tc>
      </w:tr>
      <w:tr w:rsidR="00000000">
        <w:tblPrEx>
          <w:tblCellMar>
            <w:top w:w="0" w:type="dxa"/>
            <w:bottom w:w="0" w:type="dxa"/>
          </w:tblCellMar>
        </w:tblPrEx>
        <w:trPr>
          <w:cantSplit/>
        </w:trPr>
        <w:tc>
          <w:tcPr>
            <w:tcW w:w="1034" w:type="dxa"/>
            <w:tcBorders>
              <w:top w:val="nil"/>
              <w:left w:val="nil"/>
              <w:bottom w:val="nil"/>
              <w:right w:val="nil"/>
            </w:tcBorders>
          </w:tcPr>
          <w:p w:rsidR="00000000" w:rsidRDefault="00A955AA">
            <w:pPr>
              <w:spacing w:after="120"/>
              <w:jc w:val="both"/>
              <w:rPr>
                <w:rFonts w:cs="David"/>
                <w:sz w:val="26"/>
                <w:szCs w:val="26"/>
              </w:rPr>
            </w:pPr>
            <w:r>
              <w:rPr>
                <w:rFonts w:cs="David"/>
                <w:sz w:val="26"/>
                <w:szCs w:val="26"/>
                <w:rtl/>
              </w:rPr>
              <w:t xml:space="preserve">מזכיר הועדה </w:t>
            </w:r>
          </w:p>
        </w:tc>
        <w:tc>
          <w:tcPr>
            <w:tcW w:w="540" w:type="dxa"/>
            <w:tcBorders>
              <w:top w:val="nil"/>
              <w:left w:val="nil"/>
              <w:bottom w:val="nil"/>
              <w:right w:val="nil"/>
            </w:tcBorders>
          </w:tcPr>
          <w:p w:rsidR="00000000" w:rsidRDefault="00A955AA">
            <w:pPr>
              <w:spacing w:after="120"/>
              <w:jc w:val="both"/>
              <w:rPr>
                <w:rFonts w:cs="David"/>
                <w:sz w:val="26"/>
                <w:szCs w:val="26"/>
              </w:rPr>
            </w:pPr>
            <w:r>
              <w:rPr>
                <w:rFonts w:cs="David"/>
                <w:sz w:val="26"/>
                <w:szCs w:val="26"/>
                <w:rtl/>
              </w:rPr>
              <w:t>2.</w:t>
            </w:r>
          </w:p>
        </w:tc>
        <w:tc>
          <w:tcPr>
            <w:tcW w:w="7184" w:type="dxa"/>
            <w:gridSpan w:val="2"/>
            <w:tcBorders>
              <w:top w:val="nil"/>
              <w:left w:val="nil"/>
              <w:bottom w:val="nil"/>
              <w:right w:val="nil"/>
            </w:tcBorders>
          </w:tcPr>
          <w:p w:rsidR="00000000" w:rsidRDefault="00A955AA">
            <w:pPr>
              <w:spacing w:after="120" w:line="360" w:lineRule="auto"/>
              <w:jc w:val="both"/>
              <w:rPr>
                <w:rFonts w:cs="David"/>
                <w:sz w:val="26"/>
                <w:szCs w:val="26"/>
                <w:rtl/>
              </w:rPr>
            </w:pPr>
            <w:r>
              <w:rPr>
                <w:rFonts w:cs="David"/>
                <w:sz w:val="26"/>
                <w:szCs w:val="26"/>
                <w:rtl/>
              </w:rPr>
              <w:t xml:space="preserve">על אף האמור בכל דין, לועדה רפואית לא ימונה מזכיר אשר הינו עובד של הגוף אשר יבצע את החלטת הועדה הרפואית או של הגוף אשר ישלם תגמול שנקבע בידי הועדה הרפואית. </w:t>
            </w:r>
          </w:p>
          <w:p w:rsidR="00000000" w:rsidRDefault="00A955AA">
            <w:pPr>
              <w:spacing w:after="120"/>
              <w:jc w:val="both"/>
              <w:rPr>
                <w:rFonts w:cs="David"/>
                <w:sz w:val="26"/>
                <w:szCs w:val="26"/>
              </w:rPr>
            </w:pPr>
          </w:p>
        </w:tc>
      </w:tr>
      <w:tr w:rsidR="00000000">
        <w:tblPrEx>
          <w:tblCellMar>
            <w:top w:w="0" w:type="dxa"/>
            <w:bottom w:w="0" w:type="dxa"/>
          </w:tblCellMar>
        </w:tblPrEx>
        <w:trPr>
          <w:cantSplit/>
        </w:trPr>
        <w:tc>
          <w:tcPr>
            <w:tcW w:w="1034" w:type="dxa"/>
            <w:tcBorders>
              <w:top w:val="nil"/>
              <w:left w:val="nil"/>
              <w:bottom w:val="nil"/>
              <w:right w:val="nil"/>
            </w:tcBorders>
          </w:tcPr>
          <w:p w:rsidR="00000000" w:rsidRDefault="00A955AA">
            <w:pPr>
              <w:spacing w:after="120"/>
              <w:jc w:val="both"/>
              <w:rPr>
                <w:rFonts w:cs="David"/>
                <w:sz w:val="26"/>
                <w:szCs w:val="26"/>
              </w:rPr>
            </w:pPr>
            <w:r>
              <w:rPr>
                <w:rFonts w:cs="David"/>
                <w:sz w:val="26"/>
                <w:szCs w:val="26"/>
                <w:rtl/>
              </w:rPr>
              <w:t>גילוי מידע</w:t>
            </w:r>
          </w:p>
        </w:tc>
        <w:tc>
          <w:tcPr>
            <w:tcW w:w="540" w:type="dxa"/>
            <w:tcBorders>
              <w:top w:val="nil"/>
              <w:left w:val="nil"/>
              <w:bottom w:val="nil"/>
              <w:right w:val="nil"/>
            </w:tcBorders>
          </w:tcPr>
          <w:p w:rsidR="00000000" w:rsidRDefault="00A955AA">
            <w:pPr>
              <w:spacing w:after="120"/>
              <w:jc w:val="both"/>
              <w:rPr>
                <w:rFonts w:cs="David"/>
                <w:sz w:val="26"/>
                <w:szCs w:val="26"/>
              </w:rPr>
            </w:pPr>
            <w:r>
              <w:rPr>
                <w:rFonts w:cs="David"/>
                <w:sz w:val="26"/>
                <w:szCs w:val="26"/>
                <w:rtl/>
              </w:rPr>
              <w:t>3.</w:t>
            </w:r>
          </w:p>
        </w:tc>
        <w:tc>
          <w:tcPr>
            <w:tcW w:w="596" w:type="dxa"/>
            <w:tcBorders>
              <w:top w:val="nil"/>
              <w:left w:val="nil"/>
              <w:bottom w:val="nil"/>
              <w:right w:val="nil"/>
            </w:tcBorders>
          </w:tcPr>
          <w:p w:rsidR="00000000" w:rsidRDefault="00A955AA">
            <w:pPr>
              <w:spacing w:after="120"/>
              <w:jc w:val="both"/>
              <w:rPr>
                <w:rFonts w:cs="David"/>
                <w:sz w:val="26"/>
                <w:szCs w:val="26"/>
              </w:rPr>
            </w:pPr>
            <w:r>
              <w:rPr>
                <w:rFonts w:cs="David"/>
                <w:sz w:val="26"/>
                <w:szCs w:val="26"/>
                <w:rtl/>
              </w:rPr>
              <w:t>(א)</w:t>
            </w:r>
          </w:p>
        </w:tc>
        <w:tc>
          <w:tcPr>
            <w:tcW w:w="6588" w:type="dxa"/>
            <w:tcBorders>
              <w:top w:val="nil"/>
              <w:left w:val="nil"/>
              <w:bottom w:val="nil"/>
              <w:right w:val="nil"/>
            </w:tcBorders>
          </w:tcPr>
          <w:p w:rsidR="00000000" w:rsidRDefault="00A955AA">
            <w:pPr>
              <w:spacing w:after="120" w:line="360" w:lineRule="auto"/>
              <w:jc w:val="both"/>
              <w:rPr>
                <w:rFonts w:cs="David"/>
                <w:sz w:val="26"/>
                <w:szCs w:val="26"/>
              </w:rPr>
            </w:pPr>
            <w:r>
              <w:rPr>
                <w:rFonts w:cs="David"/>
                <w:sz w:val="26"/>
                <w:szCs w:val="26"/>
                <w:rtl/>
              </w:rPr>
              <w:t>כל מסמך ומידע שיימסר לועדה ר</w:t>
            </w:r>
            <w:r>
              <w:rPr>
                <w:rFonts w:cs="David"/>
                <w:sz w:val="26"/>
                <w:szCs w:val="26"/>
                <w:rtl/>
              </w:rPr>
              <w:t>פואית, יועבר ,הן למטופל והן לגוף כאמור בסעיף 2, תוך זמן סביר, ממועד העברתו לועדה; לא יתקיים דיון בועדה בנושא מסויים, אם לא הועבר המסמך או המידע לגביו לשני הצדדים תוך זמן סביר לפני הדיון.</w:t>
            </w:r>
          </w:p>
        </w:tc>
      </w:tr>
      <w:tr w:rsidR="00000000">
        <w:tblPrEx>
          <w:tblCellMar>
            <w:top w:w="0" w:type="dxa"/>
            <w:bottom w:w="0" w:type="dxa"/>
          </w:tblCellMar>
        </w:tblPrEx>
        <w:trPr>
          <w:cantSplit/>
        </w:trPr>
        <w:tc>
          <w:tcPr>
            <w:tcW w:w="1034" w:type="dxa"/>
            <w:tcBorders>
              <w:top w:val="nil"/>
              <w:left w:val="nil"/>
              <w:bottom w:val="nil"/>
              <w:right w:val="nil"/>
            </w:tcBorders>
          </w:tcPr>
          <w:p w:rsidR="00000000" w:rsidRDefault="00A955AA">
            <w:pPr>
              <w:spacing w:after="120"/>
              <w:jc w:val="both"/>
              <w:rPr>
                <w:rFonts w:cs="David"/>
                <w:sz w:val="26"/>
                <w:szCs w:val="26"/>
              </w:rPr>
            </w:pPr>
          </w:p>
        </w:tc>
        <w:tc>
          <w:tcPr>
            <w:tcW w:w="540" w:type="dxa"/>
            <w:tcBorders>
              <w:top w:val="nil"/>
              <w:left w:val="nil"/>
              <w:bottom w:val="nil"/>
              <w:right w:val="nil"/>
            </w:tcBorders>
          </w:tcPr>
          <w:p w:rsidR="00000000" w:rsidRDefault="00A955AA">
            <w:pPr>
              <w:spacing w:after="120"/>
              <w:jc w:val="both"/>
              <w:rPr>
                <w:rFonts w:cs="David"/>
                <w:sz w:val="26"/>
                <w:szCs w:val="26"/>
              </w:rPr>
            </w:pPr>
          </w:p>
        </w:tc>
        <w:tc>
          <w:tcPr>
            <w:tcW w:w="596" w:type="dxa"/>
            <w:tcBorders>
              <w:top w:val="nil"/>
              <w:left w:val="nil"/>
              <w:bottom w:val="nil"/>
              <w:right w:val="nil"/>
            </w:tcBorders>
          </w:tcPr>
          <w:p w:rsidR="00000000" w:rsidRDefault="00A955AA">
            <w:pPr>
              <w:spacing w:after="120"/>
              <w:jc w:val="both"/>
              <w:rPr>
                <w:rFonts w:cs="David"/>
                <w:sz w:val="26"/>
                <w:szCs w:val="26"/>
              </w:rPr>
            </w:pPr>
            <w:r>
              <w:rPr>
                <w:rFonts w:cs="David"/>
                <w:sz w:val="26"/>
                <w:szCs w:val="26"/>
                <w:rtl/>
              </w:rPr>
              <w:t>(ב)</w:t>
            </w:r>
          </w:p>
        </w:tc>
        <w:tc>
          <w:tcPr>
            <w:tcW w:w="6588" w:type="dxa"/>
            <w:tcBorders>
              <w:top w:val="nil"/>
              <w:left w:val="nil"/>
              <w:bottom w:val="nil"/>
              <w:right w:val="nil"/>
            </w:tcBorders>
          </w:tcPr>
          <w:p w:rsidR="00000000" w:rsidRDefault="00A955AA">
            <w:pPr>
              <w:spacing w:after="120" w:line="360" w:lineRule="auto"/>
              <w:jc w:val="both"/>
              <w:rPr>
                <w:rFonts w:cs="David"/>
                <w:sz w:val="26"/>
                <w:szCs w:val="26"/>
                <w:rtl/>
              </w:rPr>
            </w:pPr>
            <w:r>
              <w:rPr>
                <w:rFonts w:cs="David"/>
                <w:sz w:val="26"/>
                <w:szCs w:val="26"/>
                <w:rtl/>
              </w:rPr>
              <w:t>בהתקיים נסיבות כאמור בסעיף 13(ד) לחוק זכויות החולה,    התשנ"ו–</w:t>
            </w:r>
            <w:r>
              <w:rPr>
                <w:rFonts w:cs="David"/>
                <w:sz w:val="26"/>
                <w:szCs w:val="26"/>
                <w:rtl/>
              </w:rPr>
              <w:t>1996</w:t>
            </w:r>
            <w:r>
              <w:rPr>
                <w:rStyle w:val="aa"/>
                <w:rFonts w:cs="David"/>
                <w:sz w:val="26"/>
                <w:szCs w:val="26"/>
                <w:rtl/>
              </w:rPr>
              <w:footnoteReference w:id="1"/>
            </w:r>
            <w:r>
              <w:rPr>
                <w:rFonts w:cs="David"/>
                <w:sz w:val="26"/>
                <w:szCs w:val="26"/>
                <w:rtl/>
              </w:rPr>
              <w:t xml:space="preserve">, בנוגע לאדם התובע זכות למידע רפואי, רשאית הועדה שלא למסור את המידע לו, אלא לבא כוחו של  התובע, או לאדם אחר, המייצג את התובע. </w:t>
            </w:r>
          </w:p>
          <w:p w:rsidR="00000000" w:rsidRDefault="00A955AA">
            <w:pPr>
              <w:spacing w:after="120"/>
              <w:jc w:val="both"/>
              <w:rPr>
                <w:rFonts w:cs="David"/>
                <w:sz w:val="26"/>
                <w:szCs w:val="26"/>
              </w:rPr>
            </w:pPr>
          </w:p>
        </w:tc>
      </w:tr>
      <w:tr w:rsidR="00000000">
        <w:tblPrEx>
          <w:tblCellMar>
            <w:top w:w="0" w:type="dxa"/>
            <w:bottom w:w="0" w:type="dxa"/>
          </w:tblCellMar>
        </w:tblPrEx>
        <w:trPr>
          <w:cantSplit/>
        </w:trPr>
        <w:tc>
          <w:tcPr>
            <w:tcW w:w="1034" w:type="dxa"/>
            <w:tcBorders>
              <w:top w:val="nil"/>
              <w:left w:val="nil"/>
              <w:bottom w:val="nil"/>
              <w:right w:val="nil"/>
            </w:tcBorders>
          </w:tcPr>
          <w:p w:rsidR="00000000" w:rsidRDefault="00A955AA">
            <w:pPr>
              <w:spacing w:after="120"/>
              <w:jc w:val="both"/>
              <w:rPr>
                <w:rFonts w:cs="David"/>
                <w:sz w:val="26"/>
                <w:szCs w:val="26"/>
              </w:rPr>
            </w:pPr>
            <w:r>
              <w:rPr>
                <w:rFonts w:cs="David"/>
                <w:sz w:val="26"/>
                <w:szCs w:val="26"/>
                <w:rtl/>
              </w:rPr>
              <w:t>תקנות</w:t>
            </w:r>
          </w:p>
        </w:tc>
        <w:tc>
          <w:tcPr>
            <w:tcW w:w="540" w:type="dxa"/>
            <w:tcBorders>
              <w:top w:val="nil"/>
              <w:left w:val="nil"/>
              <w:bottom w:val="nil"/>
              <w:right w:val="nil"/>
            </w:tcBorders>
          </w:tcPr>
          <w:p w:rsidR="00000000" w:rsidRDefault="00A955AA">
            <w:pPr>
              <w:spacing w:after="120"/>
              <w:jc w:val="both"/>
              <w:rPr>
                <w:rFonts w:cs="David"/>
                <w:sz w:val="26"/>
                <w:szCs w:val="26"/>
              </w:rPr>
            </w:pPr>
            <w:r>
              <w:rPr>
                <w:rFonts w:cs="David"/>
                <w:sz w:val="26"/>
                <w:szCs w:val="26"/>
                <w:rtl/>
              </w:rPr>
              <w:t>4.</w:t>
            </w:r>
          </w:p>
        </w:tc>
        <w:tc>
          <w:tcPr>
            <w:tcW w:w="7184" w:type="dxa"/>
            <w:gridSpan w:val="2"/>
            <w:tcBorders>
              <w:top w:val="nil"/>
              <w:left w:val="nil"/>
              <w:bottom w:val="nil"/>
              <w:right w:val="nil"/>
            </w:tcBorders>
          </w:tcPr>
          <w:p w:rsidR="00000000" w:rsidRDefault="00A955AA">
            <w:pPr>
              <w:spacing w:after="120" w:line="360" w:lineRule="auto"/>
              <w:jc w:val="both"/>
              <w:rPr>
                <w:rFonts w:cs="David"/>
                <w:sz w:val="26"/>
                <w:szCs w:val="26"/>
                <w:rtl/>
              </w:rPr>
            </w:pPr>
            <w:r>
              <w:rPr>
                <w:rFonts w:cs="David"/>
                <w:sz w:val="26"/>
                <w:szCs w:val="26"/>
                <w:rtl/>
              </w:rPr>
              <w:t>השר יתקין תקנות לביצועו של חוק זה בהתייעצות עם השר הממונה על ביצוע החיקוק מכוחו הוקמה הו</w:t>
            </w:r>
            <w:r>
              <w:rPr>
                <w:rFonts w:cs="David"/>
                <w:sz w:val="26"/>
                <w:szCs w:val="26"/>
                <w:rtl/>
              </w:rPr>
              <w:t xml:space="preserve">עדה הרפואית. </w:t>
            </w:r>
          </w:p>
          <w:p w:rsidR="00000000" w:rsidRDefault="00A955AA">
            <w:pPr>
              <w:spacing w:after="120"/>
              <w:jc w:val="both"/>
              <w:rPr>
                <w:rFonts w:cs="David"/>
                <w:sz w:val="26"/>
                <w:szCs w:val="26"/>
              </w:rPr>
            </w:pPr>
          </w:p>
        </w:tc>
      </w:tr>
      <w:tr w:rsidR="00000000">
        <w:tblPrEx>
          <w:tblCellMar>
            <w:top w:w="0" w:type="dxa"/>
            <w:bottom w:w="0" w:type="dxa"/>
          </w:tblCellMar>
        </w:tblPrEx>
        <w:trPr>
          <w:cantSplit/>
        </w:trPr>
        <w:tc>
          <w:tcPr>
            <w:tcW w:w="1034" w:type="dxa"/>
            <w:tcBorders>
              <w:top w:val="nil"/>
              <w:left w:val="nil"/>
              <w:bottom w:val="nil"/>
              <w:right w:val="nil"/>
            </w:tcBorders>
          </w:tcPr>
          <w:p w:rsidR="00000000" w:rsidRDefault="00A955AA">
            <w:pPr>
              <w:spacing w:after="120"/>
              <w:jc w:val="both"/>
              <w:rPr>
                <w:rFonts w:cs="David"/>
                <w:sz w:val="26"/>
                <w:szCs w:val="26"/>
              </w:rPr>
            </w:pPr>
            <w:r>
              <w:rPr>
                <w:rFonts w:cs="David"/>
                <w:sz w:val="26"/>
                <w:szCs w:val="26"/>
                <w:rtl/>
              </w:rPr>
              <w:lastRenderedPageBreak/>
              <w:t>תחילה</w:t>
            </w:r>
          </w:p>
        </w:tc>
        <w:tc>
          <w:tcPr>
            <w:tcW w:w="540" w:type="dxa"/>
            <w:tcBorders>
              <w:top w:val="nil"/>
              <w:left w:val="nil"/>
              <w:bottom w:val="nil"/>
              <w:right w:val="nil"/>
            </w:tcBorders>
          </w:tcPr>
          <w:p w:rsidR="00000000" w:rsidRDefault="00A955AA">
            <w:pPr>
              <w:spacing w:after="120"/>
              <w:jc w:val="both"/>
              <w:rPr>
                <w:rFonts w:cs="David"/>
                <w:sz w:val="26"/>
                <w:szCs w:val="26"/>
              </w:rPr>
            </w:pPr>
            <w:r>
              <w:rPr>
                <w:rFonts w:cs="David"/>
                <w:sz w:val="26"/>
                <w:szCs w:val="26"/>
                <w:rtl/>
              </w:rPr>
              <w:t>5.</w:t>
            </w:r>
          </w:p>
        </w:tc>
        <w:tc>
          <w:tcPr>
            <w:tcW w:w="7184" w:type="dxa"/>
            <w:gridSpan w:val="2"/>
            <w:tcBorders>
              <w:top w:val="nil"/>
              <w:left w:val="nil"/>
              <w:bottom w:val="nil"/>
              <w:right w:val="nil"/>
            </w:tcBorders>
          </w:tcPr>
          <w:p w:rsidR="00000000" w:rsidRDefault="00A955AA">
            <w:pPr>
              <w:spacing w:after="120"/>
              <w:jc w:val="both"/>
              <w:rPr>
                <w:rFonts w:cs="David"/>
                <w:sz w:val="26"/>
                <w:szCs w:val="26"/>
              </w:rPr>
            </w:pPr>
            <w:r>
              <w:rPr>
                <w:rFonts w:cs="David"/>
                <w:sz w:val="26"/>
                <w:szCs w:val="26"/>
                <w:rtl/>
              </w:rPr>
              <w:t>תחילתו של חוק זה ביום ___________</w:t>
            </w:r>
            <w:r>
              <w:rPr>
                <w:rStyle w:val="aa"/>
                <w:rFonts w:cs="David"/>
                <w:sz w:val="26"/>
                <w:szCs w:val="26"/>
                <w:rtl/>
              </w:rPr>
              <w:footnoteReference w:customMarkFollows="1" w:id="2"/>
              <w:t>*</w:t>
            </w:r>
            <w:r>
              <w:rPr>
                <w:rFonts w:cs="David"/>
                <w:sz w:val="26"/>
                <w:szCs w:val="26"/>
                <w:rtl/>
              </w:rPr>
              <w:t>.</w:t>
            </w:r>
          </w:p>
        </w:tc>
      </w:tr>
    </w:tbl>
    <w:p w:rsidR="00000000" w:rsidRDefault="00A955AA">
      <w:pPr>
        <w:jc w:val="both"/>
        <w:rPr>
          <w:rFonts w:cs="David"/>
          <w:sz w:val="26"/>
          <w:szCs w:val="26"/>
          <w:rtl/>
        </w:rPr>
      </w:pPr>
    </w:p>
    <w:p w:rsidR="00000000" w:rsidRDefault="00A955AA">
      <w:pPr>
        <w:jc w:val="center"/>
        <w:rPr>
          <w:rFonts w:cs="David"/>
          <w:sz w:val="26"/>
          <w:szCs w:val="26"/>
          <w:rtl/>
        </w:rPr>
      </w:pPr>
      <w:r>
        <w:rPr>
          <w:rFonts w:cs="David"/>
          <w:b/>
          <w:bCs/>
          <w:sz w:val="28"/>
          <w:szCs w:val="28"/>
          <w:u w:val="single"/>
          <w:rtl/>
        </w:rPr>
        <w:t>דברי - הסבר</w:t>
      </w:r>
    </w:p>
    <w:p w:rsidR="00000000" w:rsidRDefault="00A955AA">
      <w:pPr>
        <w:jc w:val="both"/>
        <w:rPr>
          <w:rFonts w:cs="David"/>
          <w:sz w:val="26"/>
          <w:szCs w:val="26"/>
          <w:rtl/>
        </w:rPr>
      </w:pPr>
    </w:p>
    <w:p w:rsidR="00000000" w:rsidRDefault="00A955AA">
      <w:pPr>
        <w:jc w:val="both"/>
        <w:rPr>
          <w:rFonts w:cs="David"/>
          <w:sz w:val="26"/>
          <w:szCs w:val="26"/>
          <w:rtl/>
        </w:rPr>
      </w:pPr>
    </w:p>
    <w:p w:rsidR="00000000" w:rsidRDefault="00A955AA">
      <w:pPr>
        <w:spacing w:after="120" w:line="360" w:lineRule="auto"/>
        <w:jc w:val="both"/>
        <w:rPr>
          <w:rFonts w:cs="David"/>
          <w:sz w:val="26"/>
          <w:szCs w:val="26"/>
          <w:rtl/>
        </w:rPr>
      </w:pPr>
      <w:r>
        <w:rPr>
          <w:rFonts w:cs="David"/>
          <w:sz w:val="26"/>
          <w:szCs w:val="26"/>
          <w:rtl/>
        </w:rPr>
        <w:t xml:space="preserve">ועדות רפואיות הינן ועדות מעין-שיפוטיות, אשר בסמכותן להכריע בנושאים שנקבעו לכך בדין מכוחן הוקמו. </w:t>
      </w:r>
    </w:p>
    <w:p w:rsidR="00000000" w:rsidRDefault="00A955AA">
      <w:pPr>
        <w:spacing w:after="120" w:line="360" w:lineRule="auto"/>
        <w:jc w:val="both"/>
        <w:rPr>
          <w:rFonts w:cs="David"/>
          <w:sz w:val="26"/>
          <w:szCs w:val="26"/>
          <w:rtl/>
        </w:rPr>
      </w:pPr>
      <w:r>
        <w:rPr>
          <w:rFonts w:cs="David"/>
          <w:sz w:val="26"/>
          <w:szCs w:val="26"/>
          <w:rtl/>
        </w:rPr>
        <w:t>כיום, הועדות הרפואיות פועלות, על פי רו</w:t>
      </w:r>
      <w:r>
        <w:rPr>
          <w:rFonts w:cs="David"/>
          <w:sz w:val="26"/>
          <w:szCs w:val="26"/>
          <w:rtl/>
        </w:rPr>
        <w:t xml:space="preserve">ב, בתוך הגופים המשלמים את הגמלאות ברשות המבצעת. </w:t>
      </w:r>
    </w:p>
    <w:p w:rsidR="00000000" w:rsidRDefault="00A955AA">
      <w:pPr>
        <w:spacing w:after="120" w:line="360" w:lineRule="auto"/>
        <w:jc w:val="both"/>
        <w:rPr>
          <w:rFonts w:cs="David"/>
          <w:sz w:val="26"/>
          <w:szCs w:val="26"/>
          <w:rtl/>
        </w:rPr>
      </w:pPr>
      <w:r>
        <w:rPr>
          <w:rFonts w:cs="David"/>
          <w:sz w:val="26"/>
          <w:szCs w:val="26"/>
          <w:rtl/>
        </w:rPr>
        <w:t xml:space="preserve">על מנת לשמור על אופיין המעין-שיפוטי של הועדות וכדי שהצדק גם ייראה וגם ייעשה, מוצע להביא לידי ביטוי את ההפרדה בין הועדות הרפואיות לבין הגופים המשלמים את הגמלאות ולקבוע: </w:t>
      </w:r>
    </w:p>
    <w:p w:rsidR="00000000" w:rsidRDefault="00A955AA">
      <w:pPr>
        <w:spacing w:after="120" w:line="360" w:lineRule="auto"/>
        <w:ind w:left="454" w:hanging="454"/>
        <w:jc w:val="both"/>
        <w:rPr>
          <w:rFonts w:cs="David"/>
          <w:sz w:val="26"/>
          <w:szCs w:val="26"/>
          <w:rtl/>
        </w:rPr>
      </w:pPr>
      <w:r>
        <w:rPr>
          <w:rFonts w:cs="David"/>
          <w:sz w:val="26"/>
          <w:szCs w:val="26"/>
          <w:rtl/>
        </w:rPr>
        <w:t xml:space="preserve">א. </w:t>
      </w:r>
      <w:r>
        <w:rPr>
          <w:rFonts w:cs="David"/>
          <w:sz w:val="26"/>
          <w:szCs w:val="26"/>
          <w:rtl/>
        </w:rPr>
        <w:tab/>
        <w:t>שמזכירי הועדות לא ימונו מבין עובדי</w:t>
      </w:r>
      <w:r>
        <w:rPr>
          <w:rFonts w:cs="David"/>
          <w:sz w:val="26"/>
          <w:szCs w:val="26"/>
          <w:rtl/>
        </w:rPr>
        <w:t xml:space="preserve"> הגופים שמכוחם הוקמו הועדות. </w:t>
      </w:r>
    </w:p>
    <w:p w:rsidR="00000000" w:rsidRDefault="00A955AA">
      <w:pPr>
        <w:spacing w:after="120" w:line="360" w:lineRule="auto"/>
        <w:ind w:left="454"/>
        <w:jc w:val="both"/>
        <w:rPr>
          <w:rFonts w:cs="David"/>
          <w:sz w:val="26"/>
          <w:szCs w:val="26"/>
          <w:rtl/>
        </w:rPr>
      </w:pPr>
      <w:r>
        <w:rPr>
          <w:rFonts w:cs="David"/>
          <w:sz w:val="26"/>
          <w:szCs w:val="26"/>
          <w:rtl/>
        </w:rPr>
        <w:t>מדובר, בהקשר זה, בועדות שהוקמו מכוח חיקוקים שונים כגון: חוק הנכים (תגמולים ושיקום), התשי"ט–1959 [נוסח משולב], חוק הביטוח הלאומי [נוסח משולב], התשנ"ה–1995, חוק נכי המלחמה בנאצים, התשי"ד–1954, חוק שירות המדינה (גימלאות) [נוסח מש</w:t>
      </w:r>
      <w:r>
        <w:rPr>
          <w:rFonts w:cs="David"/>
          <w:sz w:val="26"/>
          <w:szCs w:val="26"/>
          <w:rtl/>
        </w:rPr>
        <w:t xml:space="preserve">ולב], התש"ל–1970 . </w:t>
      </w:r>
    </w:p>
    <w:p w:rsidR="00000000" w:rsidRDefault="00A955AA">
      <w:pPr>
        <w:spacing w:after="120" w:line="360" w:lineRule="auto"/>
        <w:ind w:left="454" w:hanging="454"/>
        <w:jc w:val="both"/>
        <w:rPr>
          <w:rFonts w:cs="David"/>
          <w:sz w:val="26"/>
          <w:szCs w:val="26"/>
          <w:rtl/>
        </w:rPr>
      </w:pPr>
      <w:r>
        <w:rPr>
          <w:rFonts w:cs="David"/>
          <w:sz w:val="26"/>
          <w:szCs w:val="26"/>
          <w:rtl/>
        </w:rPr>
        <w:t xml:space="preserve">ב.  </w:t>
      </w:r>
      <w:r>
        <w:rPr>
          <w:rFonts w:cs="David"/>
          <w:sz w:val="26"/>
          <w:szCs w:val="26"/>
          <w:rtl/>
        </w:rPr>
        <w:tab/>
        <w:t xml:space="preserve">כן מוצע לקבוע כי כל מסמך או מידע אשר יועבר לועדה הרפואית, יועבר לעיונם של שני הצדדים וזאת תוך זמן סביר לפני הדיון. </w:t>
      </w:r>
    </w:p>
    <w:p w:rsidR="00000000" w:rsidRDefault="00A955AA">
      <w:pPr>
        <w:spacing w:after="120" w:line="360" w:lineRule="auto"/>
        <w:jc w:val="both"/>
        <w:rPr>
          <w:rFonts w:cs="David"/>
          <w:sz w:val="26"/>
          <w:szCs w:val="26"/>
          <w:rtl/>
        </w:rPr>
      </w:pPr>
      <w:r>
        <w:rPr>
          <w:rFonts w:cs="David"/>
          <w:sz w:val="26"/>
          <w:szCs w:val="26"/>
          <w:rtl/>
        </w:rPr>
        <w:t xml:space="preserve">בדרך זו שני הצדדים – הן הנבדק והן הגוף המשלם – יהיו במצב שכלל הנתונים והמידע יהיה בפניהם. </w:t>
      </w:r>
    </w:p>
    <w:p w:rsidR="00000000" w:rsidRDefault="00A955AA">
      <w:pPr>
        <w:spacing w:after="120" w:line="360" w:lineRule="auto"/>
        <w:jc w:val="both"/>
        <w:rPr>
          <w:rFonts w:cs="David"/>
          <w:sz w:val="26"/>
          <w:szCs w:val="26"/>
          <w:rtl/>
        </w:rPr>
      </w:pPr>
      <w:r>
        <w:rPr>
          <w:rFonts w:cs="David"/>
          <w:sz w:val="26"/>
          <w:szCs w:val="26"/>
          <w:rtl/>
        </w:rPr>
        <w:t>כחריג לכלל האמור, מוצע כ</w:t>
      </w:r>
      <w:r>
        <w:rPr>
          <w:rFonts w:cs="David"/>
          <w:sz w:val="26"/>
          <w:szCs w:val="26"/>
          <w:rtl/>
        </w:rPr>
        <w:t xml:space="preserve">י במקרים בהם מסירת המידע עלולה לגרום נזק חמור לבריאותו הגופנית או הנפשית של הנבדק, יימסר המידע לבא כוחו של האדם, או לאדם אחר המייצגו. </w:t>
      </w:r>
    </w:p>
    <w:p w:rsidR="00000000" w:rsidRDefault="00A955AA">
      <w:pPr>
        <w:spacing w:after="120" w:line="360" w:lineRule="auto"/>
        <w:jc w:val="both"/>
        <w:rPr>
          <w:rFonts w:cs="David"/>
          <w:sz w:val="26"/>
          <w:szCs w:val="26"/>
          <w:rtl/>
        </w:rPr>
      </w:pPr>
      <w:r>
        <w:rPr>
          <w:rFonts w:cs="David"/>
          <w:sz w:val="26"/>
          <w:szCs w:val="26"/>
          <w:rtl/>
        </w:rPr>
        <w:t xml:space="preserve">הצעת חוק זו תתן מענה לתחושה הקיימת בדבר חוסר האיזון וחוסר השקיפות הקיימת בעבודת הועדות הרפואיות וועדות העררים. </w:t>
      </w:r>
    </w:p>
    <w:p w:rsidR="00000000" w:rsidRDefault="00A955AA">
      <w:pPr>
        <w:spacing w:after="120" w:line="360" w:lineRule="auto"/>
        <w:jc w:val="both"/>
        <w:rPr>
          <w:rFonts w:cs="David"/>
          <w:sz w:val="26"/>
          <w:szCs w:val="26"/>
          <w:rtl/>
        </w:rPr>
      </w:pPr>
      <w:r>
        <w:rPr>
          <w:rFonts w:cs="David"/>
          <w:sz w:val="26"/>
          <w:szCs w:val="26"/>
          <w:rtl/>
        </w:rPr>
        <w:t xml:space="preserve">יש לחתור </w:t>
      </w:r>
      <w:r>
        <w:rPr>
          <w:rFonts w:cs="David"/>
          <w:sz w:val="26"/>
          <w:szCs w:val="26"/>
          <w:rtl/>
        </w:rPr>
        <w:t xml:space="preserve">לכך כי כל המידע הקיים בפני הועדה יועמד לרשותם של שני הצדדים הבאים בפני הועדה, באופן שווה וזהה, וכן יש לקבוע שמזכירי הועדות אשר מרכזים את עבודת הועדה לא יהיו עובדיו של אחד הצדדים – עובדי הרשות המבצעת, כדי שלא תגרם תחושה שיש בפועלם משום הטיית עבודת הועדה. </w:t>
      </w:r>
    </w:p>
    <w:p w:rsidR="00000000" w:rsidRDefault="00A955AA">
      <w:pPr>
        <w:spacing w:after="120" w:line="360" w:lineRule="auto"/>
        <w:jc w:val="both"/>
        <w:rPr>
          <w:rFonts w:cs="David"/>
          <w:sz w:val="26"/>
          <w:szCs w:val="26"/>
          <w:rtl/>
        </w:rPr>
      </w:pPr>
      <w:r>
        <w:rPr>
          <w:rFonts w:cs="David"/>
          <w:sz w:val="26"/>
          <w:szCs w:val="26"/>
          <w:rtl/>
        </w:rPr>
        <w:t>ה</w:t>
      </w:r>
      <w:r>
        <w:rPr>
          <w:rFonts w:cs="David"/>
          <w:sz w:val="26"/>
          <w:szCs w:val="26"/>
          <w:rtl/>
        </w:rPr>
        <w:t xml:space="preserve">צעת חוק זו תביא לידי ביטוי את מעמדן העצמאי של הועדות הרפואיות ואת היותן גופים מעין-שיפוטיים. </w:t>
      </w:r>
    </w:p>
    <w:p w:rsidR="00000000" w:rsidRDefault="00A955AA">
      <w:pPr>
        <w:spacing w:line="360" w:lineRule="auto"/>
        <w:rPr>
          <w:rFonts w:cs="David"/>
          <w:sz w:val="26"/>
          <w:szCs w:val="26"/>
          <w:rtl/>
        </w:rPr>
      </w:pPr>
    </w:p>
    <w:p w:rsidR="00000000" w:rsidRDefault="00A955AA">
      <w:pPr>
        <w:spacing w:line="360" w:lineRule="auto"/>
        <w:rPr>
          <w:rFonts w:cs="David"/>
          <w:sz w:val="26"/>
          <w:szCs w:val="26"/>
          <w:rtl/>
        </w:rPr>
      </w:pPr>
      <w:r>
        <w:rPr>
          <w:rFonts w:cs="David"/>
          <w:sz w:val="26"/>
          <w:szCs w:val="26"/>
          <w:rtl/>
        </w:rPr>
        <w:t xml:space="preserve">הצעת חוק זהה הונחה על שולחן הכנסת השש-עשרה על ידי חבר הכנסת שאול יהלום (פ/2723). </w:t>
      </w:r>
    </w:p>
    <w:p w:rsidR="00000000" w:rsidRDefault="00A955AA">
      <w:pPr>
        <w:spacing w:line="360" w:lineRule="auto"/>
        <w:rPr>
          <w:rFonts w:cs="David"/>
          <w:sz w:val="26"/>
          <w:szCs w:val="26"/>
          <w:rtl/>
        </w:rPr>
      </w:pPr>
      <w:r>
        <w:rPr>
          <w:rFonts w:cs="David"/>
          <w:sz w:val="26"/>
          <w:szCs w:val="26"/>
          <w:rtl/>
        </w:rPr>
        <w:t>הצעת חוק זהה הונחה על שולחן הכנסת השבע-עשרה על-ידי חבר הכנסת זבולון אורלב (פ/73</w:t>
      </w:r>
      <w:r>
        <w:rPr>
          <w:rFonts w:cs="David"/>
          <w:sz w:val="26"/>
          <w:szCs w:val="26"/>
          <w:rtl/>
        </w:rPr>
        <w:t xml:space="preserve">7). </w:t>
      </w:r>
    </w:p>
    <w:p w:rsidR="00000000" w:rsidRDefault="00A955AA">
      <w:pPr>
        <w:spacing w:line="360" w:lineRule="auto"/>
        <w:rPr>
          <w:rFonts w:cs="David"/>
          <w:sz w:val="26"/>
          <w:szCs w:val="26"/>
          <w:rtl/>
        </w:rPr>
      </w:pPr>
    </w:p>
    <w:p w:rsidR="00000000" w:rsidRDefault="00A955AA">
      <w:pPr>
        <w:spacing w:line="360" w:lineRule="auto"/>
        <w:rPr>
          <w:rFonts w:cs="David"/>
          <w:sz w:val="26"/>
          <w:szCs w:val="26"/>
          <w:rtl/>
        </w:rPr>
      </w:pPr>
    </w:p>
    <w:p w:rsidR="00000000" w:rsidRDefault="00A955AA">
      <w:pPr>
        <w:spacing w:line="360" w:lineRule="auto"/>
        <w:rPr>
          <w:rFonts w:cs="David"/>
          <w:sz w:val="26"/>
          <w:szCs w:val="26"/>
          <w:rtl/>
        </w:rPr>
      </w:pPr>
    </w:p>
    <w:p w:rsidR="00000000" w:rsidRDefault="00A955AA">
      <w:pPr>
        <w:spacing w:line="360" w:lineRule="auto"/>
        <w:rPr>
          <w:rFonts w:cs="David"/>
          <w:sz w:val="26"/>
          <w:szCs w:val="26"/>
          <w:rtl/>
        </w:rPr>
      </w:pPr>
    </w:p>
    <w:p w:rsidR="00000000" w:rsidRDefault="00A955AA">
      <w:pPr>
        <w:pStyle w:val="a3"/>
        <w:spacing w:line="360" w:lineRule="auto"/>
        <w:jc w:val="left"/>
        <w:rPr>
          <w:rFonts w:cs="David"/>
          <w:b w:val="0"/>
          <w:bCs w:val="0"/>
          <w:sz w:val="26"/>
          <w:szCs w:val="26"/>
          <w:u w:val="none"/>
          <w:rtl/>
        </w:rPr>
      </w:pPr>
      <w:r>
        <w:rPr>
          <w:rFonts w:cs="David"/>
          <w:b w:val="0"/>
          <w:bCs w:val="0"/>
          <w:sz w:val="26"/>
          <w:szCs w:val="26"/>
          <w:u w:val="none"/>
          <w:rtl/>
        </w:rPr>
        <w:t>---------------------------------</w:t>
      </w:r>
    </w:p>
    <w:p w:rsidR="00000000" w:rsidRDefault="00A955AA">
      <w:pPr>
        <w:pStyle w:val="a3"/>
        <w:spacing w:line="360" w:lineRule="auto"/>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A955AA">
      <w:pPr>
        <w:pStyle w:val="a3"/>
        <w:spacing w:line="360" w:lineRule="auto"/>
        <w:jc w:val="left"/>
        <w:rPr>
          <w:rFonts w:cs="David"/>
          <w:b w:val="0"/>
          <w:bCs w:val="0"/>
          <w:sz w:val="26"/>
          <w:szCs w:val="26"/>
          <w:u w:val="none"/>
          <w:rtl/>
        </w:rPr>
      </w:pPr>
      <w:r>
        <w:rPr>
          <w:rFonts w:cs="David"/>
          <w:b w:val="0"/>
          <w:bCs w:val="0"/>
          <w:sz w:val="26"/>
          <w:szCs w:val="26"/>
          <w:u w:val="none"/>
          <w:rtl/>
        </w:rPr>
        <w:t>והונחה על שולחן הכנסת ביום</w:t>
      </w:r>
    </w:p>
    <w:p w:rsidR="00000000" w:rsidRDefault="00A955AA">
      <w:pPr>
        <w:pStyle w:val="a3"/>
        <w:spacing w:line="360" w:lineRule="auto"/>
        <w:jc w:val="left"/>
        <w:rPr>
          <w:rFonts w:cs="David"/>
          <w:b w:val="0"/>
          <w:bCs w:val="0"/>
          <w:sz w:val="26"/>
          <w:szCs w:val="26"/>
          <w:u w:val="none"/>
          <w:rtl/>
        </w:rPr>
      </w:pPr>
      <w:r>
        <w:rPr>
          <w:rFonts w:cs="David"/>
          <w:b w:val="0"/>
          <w:bCs w:val="0"/>
          <w:sz w:val="26"/>
          <w:szCs w:val="26"/>
          <w:u w:val="none"/>
          <w:rtl/>
        </w:rPr>
        <w:t>כ"א בתמוז התשס"ו - 17.7.06</w:t>
      </w:r>
    </w:p>
    <w:p w:rsidR="00000000" w:rsidRDefault="00A955AA">
      <w:pPr>
        <w:pStyle w:val="a3"/>
        <w:spacing w:line="360" w:lineRule="auto"/>
        <w:jc w:val="left"/>
        <w:rPr>
          <w:rFonts w:cs="David"/>
          <w:b w:val="0"/>
          <w:bCs w:val="0"/>
          <w:sz w:val="26"/>
          <w:szCs w:val="26"/>
          <w:u w:val="none"/>
        </w:rPr>
      </w:pPr>
    </w:p>
    <w:sectPr w:rsidR="00000000">
      <w:headerReference w:type="default" r:id="rId6"/>
      <w:footerReference w:type="default" r:id="rId7"/>
      <w:headerReference w:type="first" r:id="rId8"/>
      <w:footerReference w:type="firs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955AA">
      <w:r>
        <w:separator/>
      </w:r>
    </w:p>
  </w:endnote>
  <w:endnote w:type="continuationSeparator" w:id="0">
    <w:p w:rsidR="00000000" w:rsidRDefault="00A95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955AA">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955AA">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955AA">
      <w:r>
        <w:separator/>
      </w:r>
    </w:p>
  </w:footnote>
  <w:footnote w:type="continuationSeparator" w:id="0">
    <w:p w:rsidR="00000000" w:rsidRDefault="00A955AA">
      <w:r>
        <w:continuationSeparator/>
      </w:r>
    </w:p>
  </w:footnote>
  <w:footnote w:id="1">
    <w:p w:rsidR="00000000" w:rsidRDefault="00A955AA">
      <w:pPr>
        <w:pStyle w:val="a8"/>
      </w:pPr>
      <w:r>
        <w:rPr>
          <w:rStyle w:val="aa"/>
          <w:rFonts w:cs="David"/>
        </w:rPr>
        <w:footnoteRef/>
      </w:r>
      <w:r>
        <w:rPr>
          <w:rFonts w:cs="David"/>
        </w:rPr>
        <w:t xml:space="preserve"> </w:t>
      </w:r>
      <w:r>
        <w:rPr>
          <w:rFonts w:cs="David"/>
          <w:rtl/>
        </w:rPr>
        <w:t xml:space="preserve"> ס"ח התשנ"ו, עמ' 327. </w:t>
      </w:r>
    </w:p>
  </w:footnote>
  <w:footnote w:id="2">
    <w:p w:rsidR="00000000" w:rsidRDefault="00A955AA">
      <w:pPr>
        <w:pStyle w:val="a8"/>
      </w:pPr>
      <w:r>
        <w:rPr>
          <w:rStyle w:val="aa"/>
          <w:rFonts w:cs="David"/>
        </w:rPr>
        <w:t>*</w:t>
      </w:r>
      <w:r>
        <w:rPr>
          <w:rFonts w:cs="David"/>
        </w:rPr>
        <w:t xml:space="preserve"> </w:t>
      </w:r>
      <w:r>
        <w:rPr>
          <w:rFonts w:cs="David"/>
          <w:rtl/>
        </w:rPr>
        <w:t xml:space="preserve"> ייקבע בהכנת החוק לקריאה השניה והשלישית.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955AA">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3</w:t>
    </w:r>
    <w:r>
      <w:rPr>
        <w:rStyle w:val="a7"/>
      </w:rPr>
      <w:fldChar w:fldCharType="end"/>
    </w:r>
  </w:p>
  <w:p w:rsidR="00000000" w:rsidRDefault="00A955A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955A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2999éåøé ùèøï - åòãåú øôåàéåú îæëéø åòãä åçåáú âéìåé îéãò.doc"/>
    <w:docVar w:name="StartMode" w:val="2"/>
  </w:docVars>
  <w:rsids>
    <w:rsidRoot w:val="00A955AA"/>
    <w:rsid w:val="00A95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customStyle="1" w:styleId="David">
    <w:name w:val="רגיל + (עברית ושפות אחרות) David"/>
    <w:aliases w:val="‏13 נק'"/>
    <w:basedOn w:val="a"/>
    <w:uiPriority w:val="99"/>
    <w:pPr>
      <w:jc w:val="both"/>
    </w:pPr>
    <w:rPr>
      <w:rFonts w:eastAsia="Times New Roman"/>
      <w:sz w:val="26"/>
      <w:szCs w:val="26"/>
    </w:rPr>
  </w:style>
  <w:style w:type="character" w:customStyle="1" w:styleId="David0">
    <w:name w:val="רגיל + (עברית ושפות אחרות) David תו"/>
    <w:aliases w:val="‏13 נק' תו"/>
    <w:basedOn w:val="a0"/>
    <w:uiPriority w:val="99"/>
    <w:rPr>
      <w:rFonts w:cs="David"/>
      <w:sz w:val="26"/>
      <w:szCs w:val="26"/>
      <w:lang w:val="en-US" w:eastAsia="he-IL" w:bidi="he-IL"/>
    </w:rPr>
  </w:style>
  <w:style w:type="paragraph" w:styleId="ab">
    <w:name w:val="Balloon Text"/>
    <w:basedOn w:val="a"/>
    <w:link w:val="ac"/>
    <w:uiPriority w:val="99"/>
    <w:rPr>
      <w:rFonts w:ascii="Tahoma" w:eastAsia="Times New Roman" w:hAnsi="Tahoma"/>
      <w:sz w:val="16"/>
      <w:szCs w:val="16"/>
    </w:rPr>
  </w:style>
  <w:style w:type="character" w:customStyle="1" w:styleId="ac">
    <w:name w:val="טקסט בלונים תו"/>
    <w:basedOn w:val="a0"/>
    <w:link w:val="ab"/>
    <w:uiPriority w:val="99"/>
    <w:semiHidden/>
    <w:rPr>
      <w:rFonts w:ascii="Tahoma" w:hAnsi="Tahoma" w:cs="Tahoma"/>
      <w:sz w:val="16"/>
      <w:szCs w:val="16"/>
      <w:lang w:eastAsia="he-IL"/>
    </w:rPr>
  </w:style>
  <w:style w:type="paragraph" w:styleId="ad">
    <w:name w:val="footer"/>
    <w:basedOn w:val="a"/>
    <w:link w:val="ae"/>
    <w:uiPriority w:val="99"/>
    <w:pPr>
      <w:tabs>
        <w:tab w:val="center" w:pos="4153"/>
        <w:tab w:val="right" w:pos="8306"/>
      </w:tabs>
    </w:pPr>
  </w:style>
  <w:style w:type="character" w:customStyle="1" w:styleId="ae">
    <w:name w:val="כותרת תחתונה תו"/>
    <w:basedOn w:val="a0"/>
    <w:link w:val="ad"/>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500</Words>
  <Characters>2501</Characters>
  <Application>Microsoft Office Word</Application>
  <DocSecurity>0</DocSecurity>
  <Lines>20</Lines>
  <Paragraphs>5</Paragraphs>
  <ScaleCrop>false</ScaleCrop>
  <Company>knesset</Company>
  <LinksUpToDate>false</LinksUpToDate>
  <CharactersWithSpaces>2996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ועדות רפואיות (מזכיר ועדה וחובת גילוי מידע), התשס"ו-2006</dc:title>
  <dc:subject/>
  <dc:creator>Knesset</dc:creator>
  <cp:keywords/>
  <dc:description/>
  <cp:lastModifiedBy>שמואל כוכב</cp:lastModifiedBy>
  <cp:revision>2</cp:revision>
  <cp:lastPrinted>2006-07-13T12:55:00Z</cp:lastPrinted>
  <dcterms:created xsi:type="dcterms:W3CDTF">2015-02-03T16:40:00Z</dcterms:created>
  <dcterms:modified xsi:type="dcterms:W3CDTF">2015-02-03T16:40:00Z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יורי שטרן</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03927406</vt:lpwstr>
  </property>
  <property fmtid="{D5CDD505-2E9C-101B-9397-08002B2CF9AE}" pid="10" name="מספר הצעת חוק למיון">
    <vt:lpwstr>1148</vt:lpwstr>
  </property>
  <property fmtid="{D5CDD505-2E9C-101B-9397-08002B2CF9AE}" pid="11" name="SDDocDate">
    <vt:lpwstr>2006-07-13T00:00:00Z</vt:lpwstr>
  </property>
  <property fmtid="{D5CDD505-2E9C-101B-9397-08002B2CF9AE}" pid="12" name="SDHebDate">
    <vt:lpwstr>י"ז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פ/1148/17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