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8042F">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28042F">
      <w:pPr>
        <w:spacing w:line="360" w:lineRule="auto"/>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3755"/>
      </w:tblGrid>
      <w:tr w:rsidR="00000000">
        <w:tblPrEx>
          <w:tblCellMar>
            <w:top w:w="0" w:type="dxa"/>
            <w:bottom w:w="0" w:type="dxa"/>
          </w:tblCellMar>
        </w:tblPrEx>
        <w:tc>
          <w:tcPr>
            <w:tcW w:w="3755" w:type="dxa"/>
            <w:tcBorders>
              <w:top w:val="nil"/>
              <w:left w:val="nil"/>
              <w:bottom w:val="single" w:sz="4" w:space="0" w:color="auto"/>
              <w:right w:val="nil"/>
            </w:tcBorders>
          </w:tcPr>
          <w:p w:rsidR="00000000" w:rsidRDefault="0028042F">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גדעון סער</w:t>
            </w:r>
            <w:r>
              <w:rPr>
                <w:rFonts w:cs="David"/>
                <w:sz w:val="26"/>
                <w:szCs w:val="26"/>
                <w:rtl/>
              </w:rPr>
              <w:t xml:space="preserve"> </w:t>
            </w:r>
          </w:p>
        </w:tc>
      </w:tr>
    </w:tbl>
    <w:p w:rsidR="00000000" w:rsidRDefault="0028042F">
      <w:pPr>
        <w:spacing w:line="360" w:lineRule="auto"/>
        <w:jc w:val="center"/>
        <w:rPr>
          <w:rFonts w:cs="David"/>
          <w:b/>
          <w:bCs/>
          <w:rtl/>
        </w:rPr>
      </w:pPr>
      <w:r>
        <w:rPr>
          <w:rFonts w:cs="David"/>
          <w:sz w:val="26"/>
          <w:szCs w:val="26"/>
          <w:rtl/>
        </w:rPr>
        <w:tab/>
        <w:t xml:space="preserve">                                                                           </w:t>
      </w:r>
      <w:r>
        <w:rPr>
          <w:rFonts w:cs="David"/>
          <w:b/>
          <w:bCs/>
          <w:rtl/>
        </w:rPr>
        <w:t>פ/379/17</w:t>
      </w:r>
    </w:p>
    <w:p w:rsidR="00000000" w:rsidRDefault="0028042F">
      <w:pPr>
        <w:jc w:val="center"/>
        <w:rPr>
          <w:rFonts w:cs="David"/>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p>
    <w:p w:rsidR="00000000" w:rsidRDefault="0028042F">
      <w:pPr>
        <w:jc w:val="center"/>
        <w:rPr>
          <w:rFonts w:cs="David"/>
          <w:b/>
          <w:bCs/>
          <w:sz w:val="28"/>
          <w:szCs w:val="28"/>
          <w:rtl/>
        </w:rPr>
      </w:pPr>
      <w:r>
        <w:rPr>
          <w:rFonts w:cs="David"/>
          <w:b/>
          <w:bCs/>
          <w:sz w:val="28"/>
          <w:szCs w:val="28"/>
          <w:rtl/>
        </w:rPr>
        <w:t>הצעת חוק בית ה</w:t>
      </w:r>
      <w:r>
        <w:rPr>
          <w:rFonts w:cs="David"/>
          <w:b/>
          <w:bCs/>
          <w:sz w:val="28"/>
          <w:szCs w:val="28"/>
          <w:rtl/>
        </w:rPr>
        <w:t>דין לעבודה (תיקון – ערעור לפני בית המשפט העליון), התשס"ו-2006</w:t>
      </w:r>
    </w:p>
    <w:p w:rsidR="00000000" w:rsidRDefault="0028042F">
      <w:pPr>
        <w:spacing w:line="360" w:lineRule="auto"/>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26"/>
        <w:gridCol w:w="535"/>
        <w:gridCol w:w="1173"/>
        <w:gridCol w:w="906"/>
        <w:gridCol w:w="483"/>
        <w:gridCol w:w="4197"/>
      </w:tblGrid>
      <w:tr w:rsidR="00000000">
        <w:tblPrEx>
          <w:tblCellMar>
            <w:top w:w="0" w:type="dxa"/>
            <w:bottom w:w="0" w:type="dxa"/>
          </w:tblCellMar>
        </w:tblPrEx>
        <w:trPr>
          <w:cantSplit/>
        </w:trPr>
        <w:tc>
          <w:tcPr>
            <w:tcW w:w="1126" w:type="dxa"/>
            <w:tcBorders>
              <w:top w:val="nil"/>
              <w:left w:val="nil"/>
              <w:bottom w:val="nil"/>
              <w:right w:val="nil"/>
            </w:tcBorders>
          </w:tcPr>
          <w:p w:rsidR="00000000" w:rsidRDefault="0028042F">
            <w:pPr>
              <w:rPr>
                <w:rFonts w:cs="David"/>
                <w:sz w:val="26"/>
                <w:szCs w:val="26"/>
              </w:rPr>
            </w:pPr>
            <w:r>
              <w:rPr>
                <w:rFonts w:cs="David"/>
                <w:sz w:val="26"/>
                <w:szCs w:val="26"/>
                <w:rtl/>
              </w:rPr>
              <w:t xml:space="preserve">הוספת </w:t>
            </w:r>
          </w:p>
          <w:p w:rsidR="00000000" w:rsidRDefault="0028042F">
            <w:pPr>
              <w:rPr>
                <w:rFonts w:cs="David"/>
                <w:sz w:val="26"/>
                <w:szCs w:val="26"/>
              </w:rPr>
            </w:pPr>
            <w:r>
              <w:rPr>
                <w:rFonts w:cs="David"/>
                <w:sz w:val="26"/>
                <w:szCs w:val="26"/>
                <w:rtl/>
              </w:rPr>
              <w:t>סעיף 26א</w:t>
            </w:r>
          </w:p>
        </w:tc>
        <w:tc>
          <w:tcPr>
            <w:tcW w:w="535" w:type="dxa"/>
            <w:tcBorders>
              <w:top w:val="nil"/>
              <w:left w:val="nil"/>
              <w:bottom w:val="nil"/>
              <w:right w:val="nil"/>
            </w:tcBorders>
          </w:tcPr>
          <w:p w:rsidR="00000000" w:rsidRDefault="0028042F">
            <w:pPr>
              <w:spacing w:after="120" w:line="360" w:lineRule="auto"/>
              <w:rPr>
                <w:rFonts w:cs="David"/>
                <w:sz w:val="26"/>
                <w:szCs w:val="26"/>
              </w:rPr>
            </w:pPr>
            <w:r>
              <w:rPr>
                <w:rFonts w:cs="David"/>
                <w:sz w:val="26"/>
                <w:szCs w:val="26"/>
                <w:rtl/>
              </w:rPr>
              <w:t>1.</w:t>
            </w:r>
          </w:p>
        </w:tc>
        <w:tc>
          <w:tcPr>
            <w:tcW w:w="6759" w:type="dxa"/>
            <w:gridSpan w:val="4"/>
            <w:tcBorders>
              <w:top w:val="nil"/>
              <w:left w:val="nil"/>
              <w:bottom w:val="nil"/>
              <w:right w:val="nil"/>
            </w:tcBorders>
          </w:tcPr>
          <w:p w:rsidR="00000000" w:rsidRDefault="0028042F">
            <w:pPr>
              <w:spacing w:line="360" w:lineRule="auto"/>
              <w:rPr>
                <w:rFonts w:cs="David"/>
                <w:sz w:val="26"/>
                <w:szCs w:val="26"/>
              </w:rPr>
            </w:pPr>
            <w:r>
              <w:rPr>
                <w:rFonts w:cs="David"/>
                <w:sz w:val="26"/>
                <w:szCs w:val="26"/>
                <w:rtl/>
              </w:rPr>
              <w:t>בחוק בית הדין לעבודה, התשכ"ט- 1969</w:t>
            </w:r>
            <w:r>
              <w:rPr>
                <w:rStyle w:val="ac"/>
                <w:rFonts w:cs="David"/>
                <w:sz w:val="26"/>
                <w:szCs w:val="26"/>
                <w:rtl/>
              </w:rPr>
              <w:footnoteReference w:id="1"/>
            </w:r>
            <w:r>
              <w:rPr>
                <w:rFonts w:cs="David"/>
                <w:sz w:val="26"/>
                <w:szCs w:val="26"/>
                <w:rtl/>
              </w:rPr>
              <w:t>, אחרי סעיף 26 יבוא:</w:t>
            </w:r>
          </w:p>
        </w:tc>
      </w:tr>
      <w:tr w:rsidR="00000000">
        <w:tblPrEx>
          <w:tblCellMar>
            <w:top w:w="0" w:type="dxa"/>
            <w:bottom w:w="0" w:type="dxa"/>
          </w:tblCellMar>
        </w:tblPrEx>
        <w:trPr>
          <w:cantSplit/>
        </w:trPr>
        <w:tc>
          <w:tcPr>
            <w:tcW w:w="1126" w:type="dxa"/>
            <w:tcBorders>
              <w:top w:val="nil"/>
              <w:left w:val="nil"/>
              <w:bottom w:val="nil"/>
              <w:right w:val="nil"/>
            </w:tcBorders>
          </w:tcPr>
          <w:p w:rsidR="00000000" w:rsidRDefault="0028042F">
            <w:pPr>
              <w:rPr>
                <w:rFonts w:cs="David"/>
                <w:sz w:val="26"/>
                <w:szCs w:val="26"/>
              </w:rPr>
            </w:pPr>
          </w:p>
        </w:tc>
        <w:tc>
          <w:tcPr>
            <w:tcW w:w="535" w:type="dxa"/>
            <w:tcBorders>
              <w:top w:val="nil"/>
              <w:left w:val="nil"/>
              <w:bottom w:val="nil"/>
              <w:right w:val="nil"/>
            </w:tcBorders>
          </w:tcPr>
          <w:p w:rsidR="00000000" w:rsidRDefault="0028042F">
            <w:pPr>
              <w:spacing w:after="120" w:line="360" w:lineRule="auto"/>
              <w:rPr>
                <w:rFonts w:cs="David"/>
                <w:sz w:val="26"/>
                <w:szCs w:val="26"/>
              </w:rPr>
            </w:pPr>
          </w:p>
        </w:tc>
        <w:tc>
          <w:tcPr>
            <w:tcW w:w="1173" w:type="dxa"/>
            <w:tcBorders>
              <w:top w:val="nil"/>
              <w:left w:val="nil"/>
              <w:bottom w:val="nil"/>
              <w:right w:val="nil"/>
            </w:tcBorders>
          </w:tcPr>
          <w:p w:rsidR="00000000" w:rsidRDefault="0028042F">
            <w:pPr>
              <w:rPr>
                <w:rFonts w:cs="David"/>
                <w:sz w:val="26"/>
                <w:szCs w:val="26"/>
              </w:rPr>
            </w:pPr>
            <w:r>
              <w:rPr>
                <w:rFonts w:cs="David"/>
                <w:sz w:val="26"/>
                <w:szCs w:val="26"/>
                <w:rtl/>
              </w:rPr>
              <w:t>"ערעור לפני בית המשפט העליון</w:t>
            </w:r>
          </w:p>
        </w:tc>
        <w:tc>
          <w:tcPr>
            <w:tcW w:w="906" w:type="dxa"/>
            <w:tcBorders>
              <w:top w:val="nil"/>
              <w:left w:val="nil"/>
              <w:bottom w:val="nil"/>
              <w:right w:val="nil"/>
            </w:tcBorders>
          </w:tcPr>
          <w:p w:rsidR="00000000" w:rsidRDefault="0028042F">
            <w:pPr>
              <w:spacing w:line="360" w:lineRule="auto"/>
              <w:rPr>
                <w:rFonts w:cs="David"/>
                <w:sz w:val="26"/>
                <w:szCs w:val="26"/>
              </w:rPr>
            </w:pPr>
            <w:r>
              <w:rPr>
                <w:rFonts w:cs="David"/>
                <w:sz w:val="26"/>
                <w:szCs w:val="26"/>
                <w:rtl/>
              </w:rPr>
              <w:t>26א.</w:t>
            </w:r>
          </w:p>
        </w:tc>
        <w:tc>
          <w:tcPr>
            <w:tcW w:w="483" w:type="dxa"/>
            <w:tcBorders>
              <w:top w:val="nil"/>
              <w:left w:val="nil"/>
              <w:bottom w:val="nil"/>
              <w:right w:val="nil"/>
            </w:tcBorders>
          </w:tcPr>
          <w:p w:rsidR="00000000" w:rsidRDefault="0028042F">
            <w:pPr>
              <w:spacing w:line="360" w:lineRule="auto"/>
              <w:rPr>
                <w:rFonts w:cs="David"/>
                <w:sz w:val="26"/>
                <w:szCs w:val="26"/>
              </w:rPr>
            </w:pPr>
            <w:r>
              <w:rPr>
                <w:rFonts w:cs="David"/>
                <w:sz w:val="26"/>
                <w:szCs w:val="26"/>
                <w:rtl/>
              </w:rPr>
              <w:t>(א)</w:t>
            </w:r>
          </w:p>
        </w:tc>
        <w:tc>
          <w:tcPr>
            <w:tcW w:w="4197" w:type="dxa"/>
            <w:tcBorders>
              <w:top w:val="nil"/>
              <w:left w:val="nil"/>
              <w:bottom w:val="nil"/>
              <w:right w:val="nil"/>
            </w:tcBorders>
          </w:tcPr>
          <w:p w:rsidR="00000000" w:rsidRDefault="0028042F">
            <w:pPr>
              <w:spacing w:after="120" w:line="360" w:lineRule="auto"/>
              <w:jc w:val="both"/>
              <w:rPr>
                <w:rFonts w:cs="David"/>
                <w:sz w:val="26"/>
                <w:szCs w:val="26"/>
              </w:rPr>
            </w:pPr>
            <w:r>
              <w:rPr>
                <w:rFonts w:cs="David"/>
                <w:sz w:val="26"/>
                <w:szCs w:val="26"/>
                <w:rtl/>
              </w:rPr>
              <w:t>פסק דין של בית הדין הארצי בשבתו כערכאה ראשונה ניתן לערע</w:t>
            </w:r>
            <w:r>
              <w:rPr>
                <w:rFonts w:cs="David"/>
                <w:sz w:val="26"/>
                <w:szCs w:val="26"/>
                <w:rtl/>
              </w:rPr>
              <w:t xml:space="preserve">ור לפני בית המשפט העליון. </w:t>
            </w:r>
          </w:p>
        </w:tc>
      </w:tr>
      <w:tr w:rsidR="00000000">
        <w:tblPrEx>
          <w:tblCellMar>
            <w:top w:w="0" w:type="dxa"/>
            <w:bottom w:w="0" w:type="dxa"/>
          </w:tblCellMar>
        </w:tblPrEx>
        <w:trPr>
          <w:cantSplit/>
        </w:trPr>
        <w:tc>
          <w:tcPr>
            <w:tcW w:w="1126" w:type="dxa"/>
            <w:tcBorders>
              <w:top w:val="nil"/>
              <w:left w:val="nil"/>
              <w:bottom w:val="nil"/>
              <w:right w:val="nil"/>
            </w:tcBorders>
          </w:tcPr>
          <w:p w:rsidR="00000000" w:rsidRDefault="0028042F">
            <w:pPr>
              <w:rPr>
                <w:rFonts w:cs="David"/>
                <w:sz w:val="26"/>
                <w:szCs w:val="26"/>
              </w:rPr>
            </w:pPr>
          </w:p>
        </w:tc>
        <w:tc>
          <w:tcPr>
            <w:tcW w:w="535" w:type="dxa"/>
            <w:tcBorders>
              <w:top w:val="nil"/>
              <w:left w:val="nil"/>
              <w:bottom w:val="nil"/>
              <w:right w:val="nil"/>
            </w:tcBorders>
          </w:tcPr>
          <w:p w:rsidR="00000000" w:rsidRDefault="0028042F">
            <w:pPr>
              <w:spacing w:after="120" w:line="360" w:lineRule="auto"/>
              <w:rPr>
                <w:rFonts w:cs="David"/>
                <w:sz w:val="26"/>
                <w:szCs w:val="26"/>
              </w:rPr>
            </w:pPr>
          </w:p>
        </w:tc>
        <w:tc>
          <w:tcPr>
            <w:tcW w:w="1173" w:type="dxa"/>
            <w:tcBorders>
              <w:top w:val="nil"/>
              <w:left w:val="nil"/>
              <w:bottom w:val="nil"/>
              <w:right w:val="nil"/>
            </w:tcBorders>
          </w:tcPr>
          <w:p w:rsidR="00000000" w:rsidRDefault="0028042F">
            <w:pPr>
              <w:spacing w:line="360" w:lineRule="auto"/>
              <w:rPr>
                <w:rFonts w:cs="David"/>
                <w:sz w:val="26"/>
                <w:szCs w:val="26"/>
              </w:rPr>
            </w:pPr>
          </w:p>
        </w:tc>
        <w:tc>
          <w:tcPr>
            <w:tcW w:w="906" w:type="dxa"/>
            <w:tcBorders>
              <w:top w:val="nil"/>
              <w:left w:val="nil"/>
              <w:bottom w:val="nil"/>
              <w:right w:val="nil"/>
            </w:tcBorders>
          </w:tcPr>
          <w:p w:rsidR="00000000" w:rsidRDefault="0028042F">
            <w:pPr>
              <w:spacing w:after="120" w:line="360" w:lineRule="auto"/>
              <w:jc w:val="both"/>
              <w:rPr>
                <w:rFonts w:cs="David"/>
                <w:sz w:val="26"/>
                <w:szCs w:val="26"/>
              </w:rPr>
            </w:pPr>
          </w:p>
        </w:tc>
        <w:tc>
          <w:tcPr>
            <w:tcW w:w="483" w:type="dxa"/>
            <w:tcBorders>
              <w:top w:val="nil"/>
              <w:left w:val="nil"/>
              <w:bottom w:val="nil"/>
              <w:right w:val="nil"/>
            </w:tcBorders>
          </w:tcPr>
          <w:p w:rsidR="00000000" w:rsidRDefault="0028042F">
            <w:pPr>
              <w:spacing w:after="120" w:line="360" w:lineRule="auto"/>
              <w:rPr>
                <w:rFonts w:cs="David"/>
                <w:sz w:val="26"/>
                <w:szCs w:val="26"/>
                <w:rtl/>
              </w:rPr>
            </w:pPr>
            <w:r>
              <w:rPr>
                <w:rFonts w:cs="David"/>
                <w:sz w:val="26"/>
                <w:szCs w:val="26"/>
                <w:rtl/>
              </w:rPr>
              <w:t>(ב)</w:t>
            </w:r>
          </w:p>
        </w:tc>
        <w:tc>
          <w:tcPr>
            <w:tcW w:w="4197" w:type="dxa"/>
            <w:tcBorders>
              <w:top w:val="nil"/>
              <w:left w:val="nil"/>
              <w:bottom w:val="nil"/>
              <w:right w:val="nil"/>
            </w:tcBorders>
          </w:tcPr>
          <w:p w:rsidR="00000000" w:rsidRDefault="0028042F">
            <w:pPr>
              <w:spacing w:after="120" w:line="360" w:lineRule="auto"/>
              <w:jc w:val="both"/>
              <w:rPr>
                <w:rFonts w:cs="David"/>
                <w:sz w:val="26"/>
                <w:szCs w:val="26"/>
              </w:rPr>
            </w:pPr>
            <w:r>
              <w:rPr>
                <w:rFonts w:cs="David"/>
                <w:sz w:val="26"/>
                <w:szCs w:val="26"/>
                <w:rtl/>
              </w:rPr>
              <w:t xml:space="preserve">החלטה אחרת של בית הדין הארצי בשבתו כערכאה ראשונה ופסק דין של בית הדין הארצי בערעור, ניתנים לערעור בפני בית המשפט העליון, אם ניתנה לכך רשות מאת נשיא בית המשפט העליון או מאת שופט אחר של בית המשפט העליון שנשיאו קבע לכך, או </w:t>
            </w:r>
            <w:r>
              <w:rPr>
                <w:rFonts w:cs="David"/>
                <w:sz w:val="26"/>
                <w:szCs w:val="26"/>
                <w:rtl/>
              </w:rPr>
              <w:t>מאת בית המשפט העליון."</w:t>
            </w:r>
          </w:p>
        </w:tc>
      </w:tr>
    </w:tbl>
    <w:p w:rsidR="00000000" w:rsidRDefault="0028042F">
      <w:pPr>
        <w:spacing w:line="360" w:lineRule="auto"/>
        <w:jc w:val="center"/>
        <w:rPr>
          <w:rFonts w:cs="David"/>
          <w:b/>
          <w:bCs/>
          <w:sz w:val="26"/>
          <w:szCs w:val="26"/>
          <w:rtl/>
        </w:rPr>
      </w:pPr>
    </w:p>
    <w:p w:rsidR="00000000" w:rsidRDefault="0028042F">
      <w:pPr>
        <w:pStyle w:val="3"/>
        <w:spacing w:line="360" w:lineRule="auto"/>
        <w:rPr>
          <w:rFonts w:cs="David"/>
          <w:sz w:val="26"/>
          <w:szCs w:val="26"/>
          <w:rtl/>
        </w:rPr>
      </w:pPr>
    </w:p>
    <w:p w:rsidR="00000000" w:rsidRDefault="0028042F">
      <w:pPr>
        <w:pStyle w:val="3"/>
        <w:spacing w:line="360" w:lineRule="auto"/>
        <w:rPr>
          <w:rFonts w:cs="David"/>
          <w:sz w:val="28"/>
          <w:szCs w:val="28"/>
          <w:rtl/>
        </w:rPr>
      </w:pPr>
      <w:r>
        <w:rPr>
          <w:rFonts w:cs="David"/>
          <w:sz w:val="28"/>
          <w:szCs w:val="28"/>
          <w:rtl/>
        </w:rPr>
        <w:t>דברי - הסבר</w:t>
      </w:r>
    </w:p>
    <w:p w:rsidR="00000000" w:rsidRDefault="0028042F">
      <w:pPr>
        <w:spacing w:line="360" w:lineRule="auto"/>
        <w:jc w:val="both"/>
        <w:rPr>
          <w:rFonts w:cs="David"/>
          <w:sz w:val="26"/>
          <w:szCs w:val="26"/>
          <w:rtl/>
        </w:rPr>
      </w:pPr>
    </w:p>
    <w:p w:rsidR="00000000" w:rsidRDefault="0028042F">
      <w:pPr>
        <w:spacing w:line="360" w:lineRule="auto"/>
        <w:jc w:val="both"/>
        <w:rPr>
          <w:rFonts w:cs="David"/>
          <w:sz w:val="26"/>
          <w:szCs w:val="26"/>
          <w:rtl/>
        </w:rPr>
      </w:pPr>
      <w:r>
        <w:rPr>
          <w:rFonts w:cs="David"/>
          <w:sz w:val="26"/>
          <w:szCs w:val="26"/>
          <w:rtl/>
        </w:rPr>
        <w:t>התיקון המוצע בחוק מבקש לשנות מצב משפטי קיים לפיו בתי הדין לעבודה מהווים ערכאה נפרדת ללא פיקוח משפטי ישיר ולהעניק זכות ערעור על פסק דין של בית הדין הארצי לעבודה כערכאה ראשונה וכערכאה שנייה ברשות לבית המשפט העליון, וכדי</w:t>
      </w:r>
      <w:r>
        <w:rPr>
          <w:rFonts w:cs="David"/>
          <w:sz w:val="26"/>
          <w:szCs w:val="26"/>
          <w:rtl/>
        </w:rPr>
        <w:t xml:space="preserve"> לעגן את אחריותו העליונה של בית המשפט העליון לפיתוח משפט העבודה, כפי שהינו אחראי לפיתוח המשפט האזרחי והפלילי. </w:t>
      </w:r>
    </w:p>
    <w:p w:rsidR="00000000" w:rsidRDefault="0028042F">
      <w:pPr>
        <w:spacing w:line="360" w:lineRule="auto"/>
        <w:jc w:val="both"/>
        <w:rPr>
          <w:rFonts w:cs="David"/>
          <w:sz w:val="26"/>
          <w:szCs w:val="26"/>
          <w:rtl/>
        </w:rPr>
      </w:pPr>
      <w:r>
        <w:rPr>
          <w:rFonts w:cs="David"/>
          <w:sz w:val="26"/>
          <w:szCs w:val="26"/>
          <w:rtl/>
        </w:rPr>
        <w:t>דיני העבודה מהווים חלק מהמשפט האזרחי ואין כל נימוק מדוע סמכות בית המשפט העליון בפיקוח על בתי הדין לעבודה לא תקוים באותה דרך, מידה וצורה כמו על בת</w:t>
      </w:r>
      <w:r>
        <w:rPr>
          <w:rFonts w:cs="David"/>
          <w:sz w:val="26"/>
          <w:szCs w:val="26"/>
          <w:rtl/>
        </w:rPr>
        <w:t xml:space="preserve">י המשפט האזרחיים, אלא תהא על דרך של פיקוח בג"צ כפי שהדבר כיום.  </w:t>
      </w:r>
    </w:p>
    <w:p w:rsidR="00000000" w:rsidRDefault="0028042F">
      <w:pPr>
        <w:spacing w:line="360" w:lineRule="auto"/>
        <w:jc w:val="both"/>
        <w:rPr>
          <w:rFonts w:cs="David"/>
          <w:sz w:val="26"/>
          <w:szCs w:val="26"/>
          <w:rtl/>
        </w:rPr>
      </w:pPr>
      <w:r>
        <w:rPr>
          <w:rFonts w:cs="David"/>
          <w:sz w:val="26"/>
          <w:szCs w:val="26"/>
          <w:rtl/>
        </w:rPr>
        <w:t xml:space="preserve">תיקון חקיקתי דומה נעשה גם לגבי פסקי דין של בית המשפט הצבאי לערעורים, שערעור עליהם ניתן להיות מוגש ברשות לבית המשפט העליון. </w:t>
      </w:r>
    </w:p>
    <w:p w:rsidR="00000000" w:rsidRDefault="0028042F">
      <w:pPr>
        <w:spacing w:line="360" w:lineRule="auto"/>
        <w:jc w:val="both"/>
        <w:rPr>
          <w:rFonts w:cs="David"/>
          <w:sz w:val="26"/>
          <w:szCs w:val="26"/>
          <w:rtl/>
        </w:rPr>
      </w:pPr>
      <w:r>
        <w:rPr>
          <w:rFonts w:cs="David"/>
          <w:sz w:val="26"/>
          <w:szCs w:val="26"/>
          <w:rtl/>
        </w:rPr>
        <w:lastRenderedPageBreak/>
        <w:t>לפיכך, עקב במצבם של בתי הדין לעבודה והצורך בפיקוח של בית המשפט העלי</w:t>
      </w:r>
      <w:r>
        <w:rPr>
          <w:rFonts w:cs="David"/>
          <w:sz w:val="26"/>
          <w:szCs w:val="26"/>
          <w:rtl/>
        </w:rPr>
        <w:t xml:space="preserve">ון על פעילותם, באופן שאינו שונה ממידת הפיקוח על המערכת השיפוטית הרגילה, יש צורך בתיקון האמור. </w:t>
      </w:r>
    </w:p>
    <w:p w:rsidR="00000000" w:rsidRDefault="0028042F">
      <w:pPr>
        <w:spacing w:line="360" w:lineRule="auto"/>
        <w:jc w:val="both"/>
        <w:rPr>
          <w:rFonts w:cs="David"/>
          <w:sz w:val="26"/>
          <w:szCs w:val="26"/>
          <w:rtl/>
        </w:rPr>
      </w:pPr>
    </w:p>
    <w:p w:rsidR="00000000" w:rsidRDefault="0028042F">
      <w:pPr>
        <w:spacing w:line="360" w:lineRule="auto"/>
        <w:jc w:val="both"/>
        <w:rPr>
          <w:rFonts w:cs="David"/>
          <w:sz w:val="26"/>
          <w:szCs w:val="26"/>
          <w:rtl/>
        </w:rPr>
      </w:pPr>
      <w:r>
        <w:rPr>
          <w:rFonts w:cs="David"/>
          <w:sz w:val="26"/>
          <w:szCs w:val="26"/>
          <w:rtl/>
        </w:rPr>
        <w:t xml:space="preserve">הצעת חוק זהה הונחה על שולחן הכנסת השש-עשרה על ידי חבר הכנסת גדעון סער (פ/2901). </w:t>
      </w:r>
    </w:p>
    <w:p w:rsidR="00000000" w:rsidRDefault="0028042F">
      <w:pPr>
        <w:spacing w:line="360" w:lineRule="auto"/>
        <w:jc w:val="both"/>
        <w:rPr>
          <w:rFonts w:cs="David"/>
          <w:sz w:val="26"/>
          <w:szCs w:val="26"/>
          <w:rtl/>
        </w:rPr>
      </w:pPr>
    </w:p>
    <w:p w:rsidR="00000000" w:rsidRDefault="0028042F">
      <w:pPr>
        <w:spacing w:line="360" w:lineRule="auto"/>
        <w:jc w:val="both"/>
        <w:rPr>
          <w:rFonts w:cs="David"/>
          <w:sz w:val="26"/>
          <w:szCs w:val="26"/>
          <w:rtl/>
        </w:rPr>
      </w:pPr>
      <w:r>
        <w:rPr>
          <w:rFonts w:cs="David"/>
          <w:sz w:val="26"/>
          <w:szCs w:val="26"/>
          <w:rtl/>
        </w:rPr>
        <w:t>------------------------------</w:t>
      </w:r>
    </w:p>
    <w:p w:rsidR="00000000" w:rsidRDefault="0028042F">
      <w:pPr>
        <w:spacing w:line="360" w:lineRule="auto"/>
        <w:jc w:val="both"/>
        <w:rPr>
          <w:rFonts w:cs="David"/>
          <w:sz w:val="26"/>
          <w:szCs w:val="26"/>
          <w:rtl/>
        </w:rPr>
      </w:pPr>
      <w:r>
        <w:rPr>
          <w:rFonts w:cs="David"/>
          <w:sz w:val="26"/>
          <w:szCs w:val="26"/>
          <w:rtl/>
        </w:rPr>
        <w:t>הוגשה ליו"ר הכנסת והסגנים</w:t>
      </w:r>
    </w:p>
    <w:p w:rsidR="00000000" w:rsidRDefault="0028042F">
      <w:pPr>
        <w:spacing w:line="360" w:lineRule="auto"/>
        <w:jc w:val="both"/>
        <w:rPr>
          <w:rFonts w:cs="David"/>
          <w:sz w:val="26"/>
          <w:szCs w:val="26"/>
          <w:rtl/>
        </w:rPr>
      </w:pPr>
      <w:r>
        <w:rPr>
          <w:rFonts w:cs="David"/>
          <w:sz w:val="26"/>
          <w:szCs w:val="26"/>
          <w:rtl/>
        </w:rPr>
        <w:t>והונחה על שלחן הכנסת</w:t>
      </w:r>
    </w:p>
    <w:p w:rsidR="00000000" w:rsidRDefault="0028042F">
      <w:pPr>
        <w:spacing w:line="360" w:lineRule="auto"/>
        <w:jc w:val="both"/>
        <w:rPr>
          <w:rFonts w:cs="David"/>
          <w:sz w:val="26"/>
          <w:szCs w:val="26"/>
          <w:rtl/>
        </w:rPr>
      </w:pPr>
      <w:r>
        <w:rPr>
          <w:rFonts w:cs="David"/>
          <w:sz w:val="26"/>
          <w:szCs w:val="26"/>
          <w:rtl/>
        </w:rPr>
        <w:t>ביום ט' בסיון התשס"ו – 5.6.06</w:t>
      </w:r>
    </w:p>
    <w:p w:rsidR="00000000" w:rsidRDefault="0028042F">
      <w:pPr>
        <w:spacing w:line="360" w:lineRule="auto"/>
        <w:jc w:val="both"/>
        <w:rPr>
          <w:rFonts w:cs="David"/>
          <w:sz w:val="26"/>
          <w:szCs w:val="26"/>
          <w:rtl/>
        </w:rPr>
      </w:pPr>
    </w:p>
    <w:p w:rsidR="00000000" w:rsidRDefault="0028042F">
      <w:pPr>
        <w:pStyle w:val="a3"/>
        <w:spacing w:line="360" w:lineRule="auto"/>
        <w:jc w:val="left"/>
        <w:rPr>
          <w:rFonts w:cs="David"/>
          <w:b w:val="0"/>
          <w:bCs w:val="0"/>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8042F">
      <w:r>
        <w:separator/>
      </w:r>
    </w:p>
  </w:endnote>
  <w:endnote w:type="continuationSeparator" w:id="0">
    <w:p w:rsidR="00000000" w:rsidRDefault="00280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8042F">
      <w:r>
        <w:separator/>
      </w:r>
    </w:p>
  </w:footnote>
  <w:footnote w:type="continuationSeparator" w:id="0">
    <w:p w:rsidR="00000000" w:rsidRDefault="0028042F">
      <w:r>
        <w:continuationSeparator/>
      </w:r>
    </w:p>
  </w:footnote>
  <w:footnote w:id="1">
    <w:p w:rsidR="00000000" w:rsidRDefault="0028042F">
      <w:pPr>
        <w:pStyle w:val="aa"/>
      </w:pPr>
      <w:r>
        <w:rPr>
          <w:rStyle w:val="ac"/>
          <w:rFonts w:cs="David"/>
        </w:rPr>
        <w:footnoteRef/>
      </w:r>
      <w:r>
        <w:rPr>
          <w:rFonts w:cs="David"/>
          <w:rtl/>
        </w:rPr>
        <w:t xml:space="preserve"> ס"ח התשכ"ט, עמ' 70.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042F">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28042F">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2074âãòåï ñòø - òøòåø ááéú äãéï ìòáåãä ìòéåï.doc"/>
    <w:docVar w:name="StartMode" w:val="2"/>
  </w:docVars>
  <w:rsids>
    <w:rsidRoot w:val="0028042F"/>
    <w:rsid w:val="00280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jc w:val="center"/>
      <w:outlineLvl w:val="2"/>
    </w:pPr>
    <w:rPr>
      <w:b/>
      <w:bCs/>
      <w:sz w:val="32"/>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annotation text"/>
    <w:basedOn w:val="a"/>
    <w:link w:val="a9"/>
    <w:uiPriority w:val="99"/>
    <w:rPr>
      <w:sz w:val="20"/>
      <w:szCs w:val="20"/>
    </w:rPr>
  </w:style>
  <w:style w:type="character" w:customStyle="1" w:styleId="a9">
    <w:name w:val="טקסט הערה תו"/>
    <w:basedOn w:val="a0"/>
    <w:link w:val="a8"/>
    <w:uiPriority w:val="99"/>
    <w:semiHidden/>
    <w:rPr>
      <w:rFonts w:ascii="Times New Roman" w:hAnsi="Times New Roman" w:cs="Times New Roman"/>
      <w:sz w:val="20"/>
      <w:szCs w:val="20"/>
      <w:lang w:eastAsia="he-IL"/>
    </w:rPr>
  </w:style>
  <w:style w:type="paragraph" w:styleId="aa">
    <w:name w:val="footnote text"/>
    <w:basedOn w:val="a"/>
    <w:link w:val="ab"/>
    <w:uiPriority w:val="99"/>
    <w:rPr>
      <w:sz w:val="20"/>
      <w:szCs w:val="20"/>
    </w:rPr>
  </w:style>
  <w:style w:type="character" w:customStyle="1" w:styleId="ab">
    <w:name w:val="טקסט הערת שוליים תו"/>
    <w:basedOn w:val="a0"/>
    <w:link w:val="aa"/>
    <w:uiPriority w:val="99"/>
    <w:semiHidden/>
    <w:rPr>
      <w:rFonts w:ascii="Times New Roman" w:hAnsi="Times New Roman" w:cs="Times New Roman"/>
      <w:sz w:val="20"/>
      <w:szCs w:val="20"/>
      <w:lang w:eastAsia="he-IL"/>
    </w:rPr>
  </w:style>
  <w:style w:type="character" w:styleId="ac">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283</Words>
  <Characters>1418</Characters>
  <Application>Microsoft Office Word</Application>
  <DocSecurity>0</DocSecurity>
  <Lines>11</Lines>
  <Paragraphs>3</Paragraphs>
  <ScaleCrop>false</ScaleCrop>
  <Company>knesset</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בית הדין לעבודה (תיקון - ערעור לפני בית המשפט העליון), התשס"ו-2006</dc:title>
  <dc:subject/>
  <dc:creator>Knesset</dc:creator>
  <cp:keywords/>
  <dc:description/>
  <cp:lastModifiedBy>שמואל כוכב</cp:lastModifiedBy>
  <cp:revision>2</cp:revision>
  <cp:lastPrinted>2006-05-30T06:09:00Z</cp:lastPrinted>
  <dcterms:created xsi:type="dcterms:W3CDTF">2015-02-03T18:56:00Z</dcterms:created>
  <dcterms:modified xsi:type="dcterms:W3CDTF">2015-02-03T18:56:00Z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גדעון סער</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03028706</vt:lpwstr>
  </property>
  <property fmtid="{D5CDD505-2E9C-101B-9397-08002B2CF9AE}" pid="10" name="מספר הצעת חוק למיון">
    <vt:lpwstr>379</vt:lpwstr>
  </property>
  <property fmtid="{D5CDD505-2E9C-101B-9397-08002B2CF9AE}" pid="11" name="SDDocDate">
    <vt:lpwstr>2006-05-30T00:00:00Z</vt:lpwstr>
  </property>
  <property fmtid="{D5CDD505-2E9C-101B-9397-08002B2CF9AE}" pid="12" name="SDHebDate">
    <vt:lpwstr>ג'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פ/379/17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