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DF1F24">
      <w:pPr>
        <w:pStyle w:val="a3"/>
        <w:spacing w:line="360" w:lineRule="auto"/>
        <w:rPr>
          <w:rFonts w:cs="David"/>
          <w:b w:val="0"/>
          <w:bCs w:val="0"/>
          <w:sz w:val="26"/>
          <w:szCs w:val="26"/>
          <w:u w:val="none"/>
          <w:rtl/>
        </w:rPr>
      </w:pPr>
      <w:bookmarkStart w:id="0" w:name="_GoBack"/>
      <w:bookmarkEnd w:id="0"/>
      <w:r>
        <w:rPr>
          <w:rFonts w:cs="David"/>
          <w:u w:val="none"/>
          <w:rtl/>
        </w:rPr>
        <w:t>הכנסת השבע-עשרה</w:t>
      </w:r>
    </w:p>
    <w:p w:rsidR="00000000" w:rsidRDefault="00DF1F24">
      <w:pPr>
        <w:spacing w:line="360" w:lineRule="auto"/>
        <w:rPr>
          <w:rFonts w:cs="David"/>
          <w:sz w:val="26"/>
          <w:szCs w:val="26"/>
          <w:rtl/>
        </w:rPr>
      </w:pPr>
    </w:p>
    <w:tbl>
      <w:tblPr>
        <w:bidiVisual/>
        <w:tblW w:w="0" w:type="auto"/>
        <w:tblInd w:w="3751" w:type="dxa"/>
        <w:tblBorders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40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F1F24">
            <w:pPr>
              <w:spacing w:after="120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הצעת</w:t>
            </w:r>
            <w:r>
              <w:rPr>
                <w:rFonts w:cs="David"/>
                <w:sz w:val="26"/>
                <w:szCs w:val="26"/>
              </w:rPr>
              <w:t xml:space="preserve"> </w:t>
            </w:r>
            <w:r>
              <w:rPr>
                <w:rFonts w:cs="David"/>
                <w:sz w:val="26"/>
                <w:szCs w:val="26"/>
                <w:rtl/>
              </w:rPr>
              <w:t xml:space="preserve">חוק של חבר הכנסת </w:t>
            </w:r>
            <w:r>
              <w:rPr>
                <w:rFonts w:cs="David"/>
                <w:b/>
                <w:bCs/>
                <w:sz w:val="26"/>
                <w:szCs w:val="26"/>
                <w:rtl/>
              </w:rPr>
              <w:t>זבולון אורלב</w:t>
            </w:r>
          </w:p>
        </w:tc>
      </w:tr>
    </w:tbl>
    <w:p w:rsidR="00000000" w:rsidRDefault="00DF1F24">
      <w:pPr>
        <w:spacing w:line="360" w:lineRule="auto"/>
        <w:jc w:val="center"/>
        <w:rPr>
          <w:rFonts w:cs="David"/>
          <w:b/>
          <w:bCs/>
          <w:rtl/>
        </w:rPr>
      </w:pP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  <w:t xml:space="preserve">          </w:t>
      </w:r>
      <w:r>
        <w:rPr>
          <w:rFonts w:cs="David"/>
          <w:b/>
          <w:bCs/>
          <w:rtl/>
        </w:rPr>
        <w:t>פ/617/17</w:t>
      </w:r>
    </w:p>
    <w:p w:rsidR="00000000" w:rsidRDefault="00DF1F24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DF1F24">
      <w:pPr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/>
          <w:b/>
          <w:bCs/>
          <w:sz w:val="28"/>
          <w:szCs w:val="28"/>
          <w:rtl/>
        </w:rPr>
        <w:t>הצעת חוק חוזה הביטוח (תיקון הארכת תקופת הה</w:t>
      </w:r>
      <w:r>
        <w:rPr>
          <w:rFonts w:cs="David"/>
          <w:b/>
          <w:bCs/>
          <w:sz w:val="28"/>
          <w:szCs w:val="28"/>
          <w:rtl/>
        </w:rPr>
        <w:t>תיישנות במקרים חריגים), התשס"ו-2006</w:t>
      </w:r>
    </w:p>
    <w:p w:rsidR="00000000" w:rsidRDefault="00DF1F24">
      <w:pPr>
        <w:rPr>
          <w:rFonts w:cs="David"/>
          <w:sz w:val="26"/>
          <w:szCs w:val="26"/>
          <w:rtl/>
        </w:rPr>
      </w:pPr>
    </w:p>
    <w:tbl>
      <w:tblPr>
        <w:bidiVisual/>
        <w:tblW w:w="0" w:type="auto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162"/>
        <w:gridCol w:w="552"/>
        <w:gridCol w:w="6706"/>
      </w:tblGrid>
      <w:tr w:rsidR="00000000"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1F24">
            <w:pPr>
              <w:spacing w:after="120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  תיקון סעיף 31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1F24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1.</w:t>
            </w:r>
          </w:p>
        </w:tc>
        <w:tc>
          <w:tcPr>
            <w:tcW w:w="670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F1F24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בחוק חוזה הביטוח, התשמ"א – 1981</w:t>
            </w:r>
            <w:r>
              <w:rPr>
                <w:rStyle w:val="aa"/>
                <w:rFonts w:cs="David"/>
                <w:sz w:val="26"/>
                <w:szCs w:val="26"/>
                <w:rtl/>
              </w:rPr>
              <w:footnoteReference w:id="1"/>
            </w:r>
            <w:r>
              <w:rPr>
                <w:rFonts w:cs="David"/>
                <w:sz w:val="26"/>
                <w:szCs w:val="26"/>
                <w:rtl/>
              </w:rPr>
              <w:t>, בסעיף 31, בסופו יבוא "בחישוב התקופה האמורה, לא יבוא במניין הזמן שבו היה התובע חולה נפש או נתון במצב בריאותי, שקבע שר המשפטים, באישור ועדת החוקה,</w:t>
            </w:r>
            <w:r>
              <w:rPr>
                <w:rFonts w:cs="David"/>
                <w:sz w:val="26"/>
                <w:szCs w:val="26"/>
                <w:rtl/>
              </w:rPr>
              <w:t xml:space="preserve"> חוק ומשפט של הכנסת, שמנע ממנו הגשת תביעה".</w:t>
            </w:r>
          </w:p>
        </w:tc>
      </w:tr>
    </w:tbl>
    <w:p w:rsidR="00000000" w:rsidRDefault="00DF1F24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 </w:t>
      </w:r>
    </w:p>
    <w:p w:rsidR="00000000" w:rsidRDefault="00DF1F24">
      <w:pPr>
        <w:spacing w:line="360" w:lineRule="auto"/>
        <w:jc w:val="center"/>
        <w:rPr>
          <w:rFonts w:cs="David"/>
          <w:b/>
          <w:bCs/>
          <w:sz w:val="28"/>
          <w:szCs w:val="28"/>
          <w:u w:val="single"/>
          <w:rtl/>
        </w:rPr>
      </w:pPr>
      <w:r>
        <w:rPr>
          <w:rFonts w:cs="David"/>
          <w:b/>
          <w:bCs/>
          <w:sz w:val="28"/>
          <w:szCs w:val="28"/>
          <w:u w:val="single"/>
          <w:rtl/>
        </w:rPr>
        <w:t>דברי – הסבר</w:t>
      </w:r>
    </w:p>
    <w:p w:rsidR="00000000" w:rsidRDefault="00DF1F24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 </w:t>
      </w:r>
    </w:p>
    <w:p w:rsidR="00000000" w:rsidRDefault="00DF1F24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חוק חוזה הביטוח, התשמ"א–1981, קובע כי תקופת ההתיישנות לתביעה של תגמולי ביטוח תהיה שלוש שנים.</w:t>
      </w:r>
    </w:p>
    <w:p w:rsidR="00000000" w:rsidRDefault="00DF1F24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DF1F24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לעיתים, קיימים מקרים בהם נמנעת הגשת התביעה בשל בעיות בריאותיות חמורות או מחלת נפש של הניזוק. כתוצאה מ</w:t>
      </w:r>
      <w:r>
        <w:rPr>
          <w:rFonts w:cs="David"/>
          <w:sz w:val="26"/>
          <w:szCs w:val="26"/>
          <w:rtl/>
        </w:rPr>
        <w:t>כך, בנוסף לסבל שסובל הניזוק בשל מחלתו הקשה, הוא אינו זכאי לקבל, ללא הצדקה, את התגמולים המגיעים לו מפוליסת הביטוח.</w:t>
      </w:r>
    </w:p>
    <w:p w:rsidR="00000000" w:rsidRDefault="00DF1F24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 </w:t>
      </w:r>
    </w:p>
    <w:p w:rsidR="00000000" w:rsidRDefault="00DF1F24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מטרת הצעת חוק זו היא לקבוע, בדומה לחריג הקיים בחוק ההתיישנות, חריג בריאותי שיאפשר להאריך את תקופת ההתיישנות במקרים של מחלת נפש ובגין מצבים ב</w:t>
      </w:r>
      <w:r>
        <w:rPr>
          <w:rFonts w:cs="David"/>
          <w:sz w:val="26"/>
          <w:szCs w:val="26"/>
          <w:rtl/>
        </w:rPr>
        <w:t xml:space="preserve">ריאותיים שמנעו הגשת תביעה, באופן שיקבע שר המשפטים בתקנות, באישור ועדת חוקה חוק ומשפט של הכנסת. </w:t>
      </w:r>
    </w:p>
    <w:p w:rsidR="00000000" w:rsidRDefault="00DF1F24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DF1F24">
      <w:pPr>
        <w:spacing w:line="360" w:lineRule="auto"/>
        <w:jc w:val="both"/>
        <w:rPr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 xml:space="preserve">הצעת חוק זהה הונחה על שולחן הכנסת השש-עשרה על ידי חבר הכנסת שאול יהלום פ/1596). </w:t>
      </w:r>
    </w:p>
    <w:p w:rsidR="00000000" w:rsidRDefault="00DF1F24">
      <w:pPr>
        <w:spacing w:line="360" w:lineRule="auto"/>
        <w:jc w:val="both"/>
        <w:rPr>
          <w:sz w:val="26"/>
          <w:szCs w:val="26"/>
          <w:rtl/>
        </w:rPr>
      </w:pPr>
    </w:p>
    <w:p w:rsidR="00000000" w:rsidRDefault="00DF1F24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  <w:rtl/>
        </w:rPr>
        <w:t>--------------------------------</w:t>
      </w:r>
    </w:p>
    <w:p w:rsidR="00000000" w:rsidRDefault="00DF1F24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הוגשה ליו"ר הכנסת והסגנים</w:t>
      </w:r>
    </w:p>
    <w:p w:rsidR="00000000" w:rsidRDefault="00DF1F24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והונחה על שלחן הכנ</w:t>
      </w:r>
      <w:r>
        <w:rPr>
          <w:rFonts w:cs="David"/>
          <w:b w:val="0"/>
          <w:bCs w:val="0"/>
          <w:sz w:val="26"/>
          <w:szCs w:val="26"/>
          <w:u w:val="none"/>
          <w:rtl/>
        </w:rPr>
        <w:t>סת ביום</w:t>
      </w:r>
    </w:p>
    <w:p w:rsidR="00000000" w:rsidRDefault="00DF1F24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כ"ג בסיון התשס"ו – 19.6.06</w:t>
      </w:r>
    </w:p>
    <w:sectPr w:rsidR="00000000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40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F1F24">
      <w:r>
        <w:separator/>
      </w:r>
    </w:p>
  </w:endnote>
  <w:endnote w:type="continuationSeparator" w:id="0">
    <w:p w:rsidR="00000000" w:rsidRDefault="00DF1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DF1F24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DF1F24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F1F24">
      <w:r>
        <w:separator/>
      </w:r>
    </w:p>
  </w:footnote>
  <w:footnote w:type="continuationSeparator" w:id="0">
    <w:p w:rsidR="00000000" w:rsidRDefault="00DF1F24">
      <w:r>
        <w:continuationSeparator/>
      </w:r>
    </w:p>
  </w:footnote>
  <w:footnote w:id="1">
    <w:p w:rsidR="00000000" w:rsidRDefault="00DF1F24">
      <w:pPr>
        <w:pStyle w:val="a8"/>
      </w:pPr>
      <w:r>
        <w:rPr>
          <w:rStyle w:val="aa"/>
          <w:rFonts w:cs="David"/>
        </w:rPr>
        <w:footnoteRef/>
      </w:r>
      <w:r>
        <w:rPr>
          <w:rFonts w:cs="David"/>
        </w:rPr>
        <w:t xml:space="preserve"> </w:t>
      </w:r>
      <w:r>
        <w:rPr>
          <w:rFonts w:cs="David"/>
          <w:rtl/>
        </w:rPr>
        <w:t>ס"ח התשמ"א, עמ' 94.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DF1F24">
    <w:pPr>
      <w:pStyle w:val="a5"/>
      <w:framePr w:wrap="auto" w:vAnchor="text" w:hAnchor="margin" w:xAlign="center" w:y="1"/>
      <w:rPr>
        <w:rStyle w:val="a7"/>
        <w:rtl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  <w:rtl/>
      </w:rPr>
      <w:t>2</w:t>
    </w:r>
    <w:r>
      <w:rPr>
        <w:rStyle w:val="a7"/>
      </w:rPr>
      <w:fldChar w:fldCharType="end"/>
    </w:r>
  </w:p>
  <w:p w:rsidR="00000000" w:rsidRDefault="00DF1F24">
    <w:pPr>
      <w:pStyle w:val="a5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DF1F24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138356æáåìåï àåøìá - çåæä äáéèåç ú÷åôú ääúééùðåú.doc"/>
    <w:docVar w:name="StartMode" w:val="2"/>
  </w:docVars>
  <w:rsids>
    <w:rsidRoot w:val="00DF1F24"/>
    <w:rsid w:val="00DF1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page number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pPr>
      <w:jc w:val="center"/>
    </w:pPr>
    <w:rPr>
      <w:rFonts w:eastAsia="Times New Roman"/>
      <w:b/>
      <w:bCs/>
      <w:sz w:val="28"/>
      <w:szCs w:val="28"/>
      <w:u w:val="single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footnote text"/>
    <w:basedOn w:val="a"/>
    <w:link w:val="a9"/>
    <w:uiPriority w:val="99"/>
    <w:rPr>
      <w:sz w:val="20"/>
      <w:szCs w:val="20"/>
    </w:rPr>
  </w:style>
  <w:style w:type="character" w:customStyle="1" w:styleId="a9">
    <w:name w:val="טקסט הערת שוליים תו"/>
    <w:basedOn w:val="a0"/>
    <w:link w:val="a8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character" w:styleId="aa">
    <w:name w:val="footnote reference"/>
    <w:basedOn w:val="a0"/>
    <w:uiPriority w:val="99"/>
    <w:rPr>
      <w:rFonts w:cs="Times New Roman"/>
      <w:vertAlign w:val="superscript"/>
    </w:rPr>
  </w:style>
  <w:style w:type="paragraph" w:styleId="ab">
    <w:name w:val="footer"/>
    <w:basedOn w:val="a"/>
    <w:link w:val="ac"/>
    <w:uiPriority w:val="99"/>
    <w:pPr>
      <w:tabs>
        <w:tab w:val="center" w:pos="4153"/>
        <w:tab w:val="right" w:pos="8306"/>
      </w:tabs>
    </w:pPr>
  </w:style>
  <w:style w:type="character" w:customStyle="1" w:styleId="ac">
    <w:name w:val="כותרת תחתונה תו"/>
    <w:basedOn w:val="a0"/>
    <w:link w:val="ab"/>
    <w:uiPriority w:val="99"/>
    <w:semiHidden/>
    <w:rPr>
      <w:rFonts w:ascii="Times New Roman" w:hAnsi="Times New Roman" w:cs="Times New Roman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965</Characters>
  <Application>Microsoft Office Word</Application>
  <DocSecurity>0</DocSecurity>
  <Lines>8</Lines>
  <Paragraphs>2</Paragraphs>
  <ScaleCrop>false</ScaleCrop>
  <Company>knesset</Company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חוזה הביטוח (תיקון הארכת תקופת ההתיישנות במקרים חריגים), התשס"ו-2006</dc:title>
  <dc:subject/>
  <dc:creator>Knesset</dc:creator>
  <cp:keywords/>
  <dc:description/>
  <cp:lastModifiedBy>שמואל כוכב</cp:lastModifiedBy>
  <cp:revision>2</cp:revision>
  <cp:lastPrinted>2006-06-15T06:39:00Z</cp:lastPrinted>
  <dcterms:created xsi:type="dcterms:W3CDTF">2015-02-03T19:21:00Z</dcterms:created>
  <dcterms:modified xsi:type="dcterms:W3CDTF">2015-02-03T19:21:00Z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129</vt:i4>
  </property>
  <property fmtid="{D5CDD505-2E9C-101B-9397-08002B2CF9AE}" pid="3" name="Nose">
    <vt:lpwstr>':הלשכה המשפטית:חקיקה - נוסח:1.טיוטה לטרומית'_x000d__x000d_</vt:lpwstr>
  </property>
  <property fmtid="{D5CDD505-2E9C-101B-9397-08002B2CF9AE}" pid="4" name="Tizkoret">
    <vt:lpwstr/>
  </property>
  <property fmtid="{D5CDD505-2E9C-101B-9397-08002B2CF9AE}" pid="5" name="YozemHatzaa_ChakList">
    <vt:lpwstr>זבולון אורלב</vt:lpwstr>
  </property>
  <property fmtid="{D5CDD505-2E9C-101B-9397-08002B2CF9AE}" pid="6" name="סימוכין">
    <vt:i4>4583105</vt:i4>
  </property>
  <property fmtid="{D5CDD505-2E9C-101B-9397-08002B2CF9AE}" pid="7" name="תאריך המסמך">
    <vt:filetime>2005-03-03T22:00:00Z</vt:filetime>
  </property>
  <property fmtid="{D5CDD505-2E9C-101B-9397-08002B2CF9AE}" pid="8" name="CodeProfile">
    <vt:lpwstr>85</vt:lpwstr>
  </property>
  <property fmtid="{D5CDD505-2E9C-101B-9397-08002B2CF9AE}" pid="9" name="AutoNumber">
    <vt:lpwstr>03319106</vt:lpwstr>
  </property>
  <property fmtid="{D5CDD505-2E9C-101B-9397-08002B2CF9AE}" pid="10" name="מספר הצעת חוק למיון">
    <vt:lpwstr>617</vt:lpwstr>
  </property>
  <property fmtid="{D5CDD505-2E9C-101B-9397-08002B2CF9AE}" pid="11" name="SDDocDate">
    <vt:lpwstr>2006-06-15T00:00:00Z</vt:lpwstr>
  </property>
  <property fmtid="{D5CDD505-2E9C-101B-9397-08002B2CF9AE}" pid="12" name="SDHebDate">
    <vt:lpwstr>י"ט בסיון, התשס"ו</vt:lpwstr>
  </property>
  <property fmtid="{D5CDD505-2E9C-101B-9397-08002B2CF9AE}" pid="13" name="SDCategories">
    <vt:lpwstr>:דף הבית:נושאים:חקיקה:נוסח לדיון מוקדם;#:הלשכה המשפטית:הצעות חוק - כנסת 17;#</vt:lpwstr>
  </property>
  <property fmtid="{D5CDD505-2E9C-101B-9397-08002B2CF9AE}" pid="14" name="תאריך הנחה">
    <vt:lpwstr/>
  </property>
  <property fmtid="{D5CDD505-2E9C-101B-9397-08002B2CF9AE}" pid="15" name="HebrewDate">
    <vt:lpwstr/>
  </property>
  <property fmtid="{D5CDD505-2E9C-101B-9397-08002B2CF9AE}" pid="16" name="SDAuthor">
    <vt:lpwstr>כוכי שבתאי</vt:lpwstr>
  </property>
  <property fmtid="{D5CDD505-2E9C-101B-9397-08002B2CF9AE}" pid="17" name="MechaberMismach">
    <vt:lpwstr/>
  </property>
  <property fmtid="{D5CDD505-2E9C-101B-9397-08002B2CF9AE}" pid="18" name="MisHatzaatChok">
    <vt:lpwstr>פ/617/17</vt:lpwstr>
  </property>
  <property fmtid="{D5CDD505-2E9C-101B-9397-08002B2CF9AE}" pid="19" name="SDRemark">
    <vt:lpwstr/>
  </property>
  <property fmtid="{D5CDD505-2E9C-101B-9397-08002B2CF9AE}" pid="20" name="SDOfflineTo">
    <vt:lpwstr/>
  </property>
  <property fmtid="{D5CDD505-2E9C-101B-9397-08002B2CF9AE}" pid="21" name="SDDistList">
    <vt:lpwstr/>
  </property>
  <property fmtid="{D5CDD505-2E9C-101B-9397-08002B2CF9AE}" pid="22" name="SDDistDate">
    <vt:lpwstr/>
  </property>
  <property fmtid="{D5CDD505-2E9C-101B-9397-08002B2CF9AE}" pid="23" name="SDOriginalID">
    <vt:lpwstr/>
  </property>
  <property fmtid="{D5CDD505-2E9C-101B-9397-08002B2CF9AE}" pid="24" name="SDSenderName">
    <vt:lpwstr/>
  </property>
  <property fmtid="{D5CDD505-2E9C-101B-9397-08002B2CF9AE}" pid="25" name="SDToList">
    <vt:lpwstr/>
  </property>
  <property fmtid="{D5CDD505-2E9C-101B-9397-08002B2CF9AE}" pid="26" name="SDCCList">
    <vt:lpwstr/>
  </property>
  <property fmtid="{D5CDD505-2E9C-101B-9397-08002B2CF9AE}" pid="27" name="STHasReminders">
    <vt:lpwstr>0</vt:lpwstr>
  </property>
  <property fmtid="{D5CDD505-2E9C-101B-9397-08002B2CF9AE}" pid="28" name="SDLink">
    <vt:lpwstr>, </vt:lpwstr>
  </property>
  <property fmtid="{D5CDD505-2E9C-101B-9397-08002B2CF9AE}" pid="29" name="Num_Gim1">
    <vt:lpwstr/>
  </property>
  <property fmtid="{D5CDD505-2E9C-101B-9397-08002B2CF9AE}" pid="30" name="NoseA">
    <vt:lpwstr/>
  </property>
  <property fmtid="{D5CDD505-2E9C-101B-9397-08002B2CF9AE}" pid="31" name="NoseB">
    <vt:lpwstr/>
  </property>
  <property fmtid="{D5CDD505-2E9C-101B-9397-08002B2CF9AE}" pid="32" name="knesset_number">
    <vt:lpwstr/>
  </property>
  <property fmtid="{D5CDD505-2E9C-101B-9397-08002B2CF9AE}" pid="33" name="ValidFrom">
    <vt:lpwstr/>
  </property>
  <property fmtid="{D5CDD505-2E9C-101B-9397-08002B2CF9AE}" pid="34" name="ValidUntill">
    <vt:lpwstr/>
  </property>
  <property fmtid="{D5CDD505-2E9C-101B-9397-08002B2CF9AE}" pid="35" name="To1">
    <vt:lpwstr/>
  </property>
  <property fmtid="{D5CDD505-2E9C-101B-9397-08002B2CF9AE}" pid="36" name="From">
    <vt:lpwstr/>
  </property>
  <property fmtid="{D5CDD505-2E9C-101B-9397-08002B2CF9AE}" pid="37" name="body">
    <vt:lpwstr/>
  </property>
  <property fmtid="{D5CDD505-2E9C-101B-9397-08002B2CF9AE}" pid="38" name="Vaada">
    <vt:lpwstr/>
  </property>
  <property fmtid="{D5CDD505-2E9C-101B-9397-08002B2CF9AE}" pid="39" name="ItemID">
    <vt:lpwstr/>
  </property>
  <property fmtid="{D5CDD505-2E9C-101B-9397-08002B2CF9AE}" pid="40" name="DocID">
    <vt:lpwstr/>
  </property>
  <property fmtid="{D5CDD505-2E9C-101B-9397-08002B2CF9AE}" pid="41" name="YozemID">
    <vt:lpwstr/>
  </property>
  <property fmtid="{D5CDD505-2E9C-101B-9397-08002B2CF9AE}" pid="42" name="Proposer">
    <vt:lpwstr/>
  </property>
  <property fmtid="{D5CDD505-2E9C-101B-9397-08002B2CF9AE}" pid="43" name="ProposerID">
    <vt:lpwstr/>
  </property>
</Properties>
</file>