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555A">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3C555A">
      <w:pPr>
        <w:spacing w:line="360" w:lineRule="auto"/>
        <w:rPr>
          <w:rFonts w:cs="David"/>
          <w:sz w:val="26"/>
          <w:szCs w:val="26"/>
          <w:rtl/>
        </w:rPr>
      </w:pPr>
    </w:p>
    <w:tbl>
      <w:tblPr>
        <w:bidiVisual/>
        <w:tblW w:w="0" w:type="auto"/>
        <w:tblInd w:w="5061" w:type="dxa"/>
        <w:tblBorders>
          <w:bottom w:val="single" w:sz="4" w:space="0" w:color="auto"/>
        </w:tblBorders>
        <w:tblLook w:val="0000" w:firstRow="0" w:lastRow="0" w:firstColumn="0" w:lastColumn="0" w:noHBand="0" w:noVBand="0"/>
      </w:tblPr>
      <w:tblGrid>
        <w:gridCol w:w="3461"/>
      </w:tblGrid>
      <w:tr w:rsidR="00000000">
        <w:tblPrEx>
          <w:tblCellMar>
            <w:top w:w="0" w:type="dxa"/>
            <w:bottom w:w="0" w:type="dxa"/>
          </w:tblCellMar>
        </w:tblPrEx>
        <w:trPr>
          <w:trHeight w:val="447"/>
        </w:trPr>
        <w:tc>
          <w:tcPr>
            <w:tcW w:w="3461" w:type="dxa"/>
            <w:tcBorders>
              <w:top w:val="nil"/>
              <w:left w:val="nil"/>
              <w:bottom w:val="single" w:sz="4" w:space="0" w:color="auto"/>
              <w:right w:val="nil"/>
            </w:tcBorders>
          </w:tcPr>
          <w:p w:rsidR="00000000" w:rsidRDefault="003C555A">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רן כהן</w:t>
            </w:r>
          </w:p>
        </w:tc>
      </w:tr>
    </w:tbl>
    <w:p w:rsidR="00000000" w:rsidRDefault="003C555A">
      <w:pPr>
        <w:spacing w:line="360" w:lineRule="auto"/>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sz w:val="26"/>
          <w:szCs w:val="26"/>
          <w:rtl/>
        </w:rPr>
        <w:t>פ/609/17</w:t>
      </w:r>
    </w:p>
    <w:p w:rsidR="00000000" w:rsidRDefault="003C555A">
      <w:pPr>
        <w:spacing w:line="360" w:lineRule="auto"/>
        <w:rPr>
          <w:rFonts w:cs="David"/>
          <w:sz w:val="26"/>
          <w:szCs w:val="26"/>
          <w:rtl/>
        </w:rPr>
      </w:pPr>
    </w:p>
    <w:p w:rsidR="00000000" w:rsidRDefault="003C555A">
      <w:pPr>
        <w:spacing w:line="360" w:lineRule="auto"/>
        <w:jc w:val="center"/>
        <w:rPr>
          <w:rFonts w:cs="David"/>
          <w:b/>
          <w:bCs/>
          <w:sz w:val="28"/>
          <w:szCs w:val="28"/>
          <w:rtl/>
        </w:rPr>
      </w:pPr>
      <w:r>
        <w:rPr>
          <w:rFonts w:cs="David"/>
          <w:b/>
          <w:bCs/>
          <w:sz w:val="28"/>
          <w:szCs w:val="28"/>
          <w:rtl/>
        </w:rPr>
        <w:t>הצעת חוק  הודעה מוקדמת לפיטורים ולהתפטרות (תיק</w:t>
      </w:r>
      <w:r>
        <w:rPr>
          <w:rFonts w:cs="David"/>
          <w:b/>
          <w:bCs/>
          <w:sz w:val="28"/>
          <w:szCs w:val="28"/>
          <w:rtl/>
        </w:rPr>
        <w:t>ון - אישור המעביד על סיום העבודה), התשס"ו-2006</w:t>
      </w:r>
    </w:p>
    <w:p w:rsidR="00000000" w:rsidRDefault="003C555A">
      <w:pPr>
        <w:spacing w:line="360" w:lineRule="auto"/>
        <w:rPr>
          <w:rtl/>
        </w:rPr>
      </w:pPr>
    </w:p>
    <w:tbl>
      <w:tblPr>
        <w:bidiVisual/>
        <w:tblW w:w="8554" w:type="dxa"/>
        <w:tblInd w:w="-134" w:type="dxa"/>
        <w:tblCellMar>
          <w:left w:w="57" w:type="dxa"/>
          <w:right w:w="57" w:type="dxa"/>
        </w:tblCellMar>
        <w:tblLook w:val="0000" w:firstRow="0" w:lastRow="0" w:firstColumn="0" w:lastColumn="0" w:noHBand="0" w:noVBand="0"/>
      </w:tblPr>
      <w:tblGrid>
        <w:gridCol w:w="1168"/>
        <w:gridCol w:w="549"/>
        <w:gridCol w:w="526"/>
        <w:gridCol w:w="6311"/>
      </w:tblGrid>
      <w:tr w:rsidR="00000000">
        <w:tc>
          <w:tcPr>
            <w:tcW w:w="1168" w:type="dxa"/>
            <w:tcBorders>
              <w:top w:val="nil"/>
              <w:left w:val="nil"/>
              <w:bottom w:val="nil"/>
              <w:right w:val="nil"/>
            </w:tcBorders>
          </w:tcPr>
          <w:p w:rsidR="00000000" w:rsidRDefault="003C555A">
            <w:pPr>
              <w:spacing w:after="120"/>
              <w:rPr>
                <w:rFonts w:cs="David"/>
                <w:sz w:val="26"/>
                <w:szCs w:val="26"/>
              </w:rPr>
            </w:pPr>
            <w:r>
              <w:rPr>
                <w:rFonts w:cs="David"/>
                <w:sz w:val="26"/>
                <w:szCs w:val="26"/>
                <w:rtl/>
              </w:rPr>
              <w:t>תיקון סעיף 8</w:t>
            </w:r>
          </w:p>
        </w:tc>
        <w:tc>
          <w:tcPr>
            <w:tcW w:w="549" w:type="dxa"/>
            <w:tcBorders>
              <w:top w:val="nil"/>
              <w:left w:val="nil"/>
              <w:bottom w:val="nil"/>
              <w:right w:val="nil"/>
            </w:tcBorders>
          </w:tcPr>
          <w:p w:rsidR="00000000" w:rsidRDefault="003C555A">
            <w:pPr>
              <w:spacing w:after="120" w:line="360" w:lineRule="auto"/>
              <w:rPr>
                <w:rFonts w:cs="David"/>
                <w:sz w:val="26"/>
                <w:szCs w:val="26"/>
              </w:rPr>
            </w:pPr>
            <w:r>
              <w:rPr>
                <w:rFonts w:cs="David"/>
                <w:sz w:val="26"/>
                <w:szCs w:val="26"/>
                <w:rtl/>
              </w:rPr>
              <w:t>1.</w:t>
            </w:r>
          </w:p>
        </w:tc>
        <w:tc>
          <w:tcPr>
            <w:tcW w:w="6837" w:type="dxa"/>
            <w:gridSpan w:val="2"/>
            <w:tcBorders>
              <w:top w:val="nil"/>
              <w:left w:val="nil"/>
              <w:bottom w:val="nil"/>
              <w:right w:val="nil"/>
            </w:tcBorders>
          </w:tcPr>
          <w:p w:rsidR="00000000" w:rsidRDefault="003C555A">
            <w:pPr>
              <w:spacing w:after="120" w:line="360" w:lineRule="auto"/>
              <w:jc w:val="both"/>
              <w:rPr>
                <w:rFonts w:cs="David"/>
                <w:sz w:val="26"/>
                <w:szCs w:val="26"/>
              </w:rPr>
            </w:pPr>
            <w:r>
              <w:rPr>
                <w:rFonts w:cs="David"/>
                <w:sz w:val="26"/>
                <w:szCs w:val="26"/>
                <w:rtl/>
              </w:rPr>
              <w:t>בחוק הודעה מוקדמת לפיטורים ולהתפטרות, התשס"א-2001</w:t>
            </w:r>
            <w:r>
              <w:rPr>
                <w:rStyle w:val="aa"/>
                <w:sz w:val="26"/>
                <w:szCs w:val="26"/>
                <w:rtl/>
              </w:rPr>
              <w:footnoteReference w:id="1"/>
            </w:r>
            <w:r>
              <w:rPr>
                <w:rFonts w:cs="David"/>
                <w:sz w:val="26"/>
                <w:szCs w:val="26"/>
                <w:rtl/>
              </w:rPr>
              <w:t xml:space="preserve"> (להלן – החוק העיקרי), אחרי סעיף 8(ב) יבוא:</w:t>
            </w:r>
          </w:p>
        </w:tc>
      </w:tr>
      <w:tr w:rsidR="00000000">
        <w:tc>
          <w:tcPr>
            <w:tcW w:w="1168" w:type="dxa"/>
            <w:tcBorders>
              <w:top w:val="nil"/>
              <w:left w:val="nil"/>
              <w:bottom w:val="nil"/>
              <w:right w:val="nil"/>
            </w:tcBorders>
          </w:tcPr>
          <w:p w:rsidR="00000000" w:rsidRDefault="003C555A">
            <w:pPr>
              <w:spacing w:after="120"/>
              <w:rPr>
                <w:rFonts w:cs="David"/>
                <w:sz w:val="26"/>
                <w:szCs w:val="26"/>
              </w:rPr>
            </w:pPr>
          </w:p>
        </w:tc>
        <w:tc>
          <w:tcPr>
            <w:tcW w:w="549" w:type="dxa"/>
            <w:tcBorders>
              <w:top w:val="nil"/>
              <w:left w:val="nil"/>
              <w:bottom w:val="nil"/>
              <w:right w:val="nil"/>
            </w:tcBorders>
          </w:tcPr>
          <w:p w:rsidR="00000000" w:rsidRDefault="003C555A">
            <w:pPr>
              <w:spacing w:after="120" w:line="360" w:lineRule="auto"/>
              <w:rPr>
                <w:rFonts w:cs="David"/>
                <w:sz w:val="26"/>
                <w:szCs w:val="26"/>
              </w:rPr>
            </w:pPr>
          </w:p>
        </w:tc>
        <w:tc>
          <w:tcPr>
            <w:tcW w:w="526" w:type="dxa"/>
            <w:tcBorders>
              <w:top w:val="nil"/>
              <w:left w:val="nil"/>
              <w:bottom w:val="nil"/>
              <w:right w:val="nil"/>
            </w:tcBorders>
          </w:tcPr>
          <w:p w:rsidR="00000000" w:rsidRDefault="003C555A">
            <w:pPr>
              <w:spacing w:after="120" w:line="360" w:lineRule="auto"/>
              <w:rPr>
                <w:rFonts w:cs="David"/>
                <w:sz w:val="26"/>
                <w:szCs w:val="26"/>
              </w:rPr>
            </w:pPr>
            <w:r>
              <w:rPr>
                <w:rFonts w:cs="David"/>
                <w:sz w:val="26"/>
                <w:szCs w:val="26"/>
                <w:rtl/>
              </w:rPr>
              <w:t>(ב1)</w:t>
            </w:r>
          </w:p>
        </w:tc>
        <w:tc>
          <w:tcPr>
            <w:tcW w:w="6311" w:type="dxa"/>
            <w:tcBorders>
              <w:top w:val="nil"/>
              <w:left w:val="nil"/>
              <w:bottom w:val="nil"/>
              <w:right w:val="nil"/>
            </w:tcBorders>
          </w:tcPr>
          <w:p w:rsidR="00000000" w:rsidRDefault="003C555A">
            <w:pPr>
              <w:spacing w:after="120" w:line="360" w:lineRule="auto"/>
              <w:jc w:val="both"/>
              <w:rPr>
                <w:rFonts w:cs="David"/>
                <w:sz w:val="26"/>
                <w:szCs w:val="26"/>
                <w:rtl/>
              </w:rPr>
            </w:pPr>
            <w:r>
              <w:rPr>
                <w:rFonts w:cs="David"/>
                <w:sz w:val="26"/>
                <w:szCs w:val="26"/>
                <w:rtl/>
              </w:rPr>
              <w:t>לא מסר מעביד אישור כאמור בסעיף זה לעובד בתוך עשרה ימים מיום סיום יח</w:t>
            </w:r>
            <w:r>
              <w:rPr>
                <w:rFonts w:cs="David"/>
                <w:sz w:val="26"/>
                <w:szCs w:val="26"/>
                <w:rtl/>
              </w:rPr>
              <w:t>סי העבודה ביניהם, תהיה לעובד הזכות לתבוע ממעבידו לשעבר את דמי האבטלה שנמנעו ממנו מחמת אי מתן האישור בזמן.</w:t>
            </w:r>
          </w:p>
        </w:tc>
      </w:tr>
      <w:tr w:rsidR="00000000">
        <w:tc>
          <w:tcPr>
            <w:tcW w:w="1168" w:type="dxa"/>
            <w:tcBorders>
              <w:top w:val="nil"/>
              <w:left w:val="nil"/>
              <w:bottom w:val="nil"/>
              <w:right w:val="nil"/>
            </w:tcBorders>
          </w:tcPr>
          <w:p w:rsidR="00000000" w:rsidRDefault="003C555A">
            <w:pPr>
              <w:spacing w:after="120"/>
              <w:rPr>
                <w:rFonts w:cs="David"/>
                <w:sz w:val="26"/>
                <w:szCs w:val="26"/>
              </w:rPr>
            </w:pPr>
          </w:p>
        </w:tc>
        <w:tc>
          <w:tcPr>
            <w:tcW w:w="549" w:type="dxa"/>
            <w:tcBorders>
              <w:top w:val="nil"/>
              <w:left w:val="nil"/>
              <w:bottom w:val="nil"/>
              <w:right w:val="nil"/>
            </w:tcBorders>
          </w:tcPr>
          <w:p w:rsidR="00000000" w:rsidRDefault="003C555A">
            <w:pPr>
              <w:spacing w:after="120" w:line="360" w:lineRule="auto"/>
              <w:rPr>
                <w:rFonts w:cs="David"/>
                <w:sz w:val="26"/>
                <w:szCs w:val="26"/>
              </w:rPr>
            </w:pPr>
          </w:p>
        </w:tc>
        <w:tc>
          <w:tcPr>
            <w:tcW w:w="526" w:type="dxa"/>
            <w:tcBorders>
              <w:top w:val="nil"/>
              <w:left w:val="nil"/>
              <w:bottom w:val="nil"/>
              <w:right w:val="nil"/>
            </w:tcBorders>
          </w:tcPr>
          <w:p w:rsidR="00000000" w:rsidRDefault="003C555A">
            <w:pPr>
              <w:spacing w:after="120" w:line="360" w:lineRule="auto"/>
              <w:rPr>
                <w:rFonts w:cs="David"/>
                <w:sz w:val="26"/>
                <w:szCs w:val="26"/>
              </w:rPr>
            </w:pPr>
            <w:r>
              <w:rPr>
                <w:rFonts w:cs="David"/>
                <w:sz w:val="26"/>
                <w:szCs w:val="26"/>
                <w:rtl/>
              </w:rPr>
              <w:t>(ב2)</w:t>
            </w:r>
          </w:p>
        </w:tc>
        <w:tc>
          <w:tcPr>
            <w:tcW w:w="6311" w:type="dxa"/>
            <w:tcBorders>
              <w:top w:val="nil"/>
              <w:left w:val="nil"/>
              <w:bottom w:val="nil"/>
              <w:right w:val="nil"/>
            </w:tcBorders>
          </w:tcPr>
          <w:p w:rsidR="00000000" w:rsidRDefault="003C555A">
            <w:pPr>
              <w:spacing w:after="120" w:line="360" w:lineRule="auto"/>
              <w:jc w:val="both"/>
              <w:rPr>
                <w:rFonts w:cs="David"/>
                <w:sz w:val="26"/>
                <w:szCs w:val="26"/>
                <w:rtl/>
              </w:rPr>
            </w:pPr>
            <w:r>
              <w:rPr>
                <w:rFonts w:cs="David"/>
                <w:sz w:val="26"/>
                <w:szCs w:val="26"/>
                <w:rtl/>
              </w:rPr>
              <w:t>שר המשפטים יקבע הוראה לפיה תובענה של עובד שהוגשה בשל אי מתן מכתב פיטורין תידון בהליך מזורז, תוך 14 ימים מיום הגשתה."</w:t>
            </w:r>
          </w:p>
          <w:p w:rsidR="00000000" w:rsidRDefault="003C555A">
            <w:pPr>
              <w:spacing w:after="120" w:line="360" w:lineRule="auto"/>
              <w:jc w:val="both"/>
              <w:rPr>
                <w:rFonts w:cs="David"/>
                <w:sz w:val="26"/>
                <w:szCs w:val="26"/>
              </w:rPr>
            </w:pPr>
          </w:p>
        </w:tc>
      </w:tr>
      <w:tr w:rsidR="00000000">
        <w:tc>
          <w:tcPr>
            <w:tcW w:w="1168" w:type="dxa"/>
            <w:tcBorders>
              <w:top w:val="nil"/>
              <w:left w:val="nil"/>
              <w:bottom w:val="nil"/>
              <w:right w:val="nil"/>
            </w:tcBorders>
          </w:tcPr>
          <w:p w:rsidR="00000000" w:rsidRDefault="003C555A">
            <w:pPr>
              <w:spacing w:after="120"/>
              <w:rPr>
                <w:rFonts w:cs="David"/>
                <w:sz w:val="26"/>
                <w:szCs w:val="26"/>
              </w:rPr>
            </w:pPr>
          </w:p>
        </w:tc>
        <w:tc>
          <w:tcPr>
            <w:tcW w:w="549" w:type="dxa"/>
            <w:tcBorders>
              <w:top w:val="nil"/>
              <w:left w:val="nil"/>
              <w:bottom w:val="nil"/>
              <w:right w:val="nil"/>
            </w:tcBorders>
          </w:tcPr>
          <w:p w:rsidR="00000000" w:rsidRDefault="003C555A">
            <w:pPr>
              <w:spacing w:after="120" w:line="360" w:lineRule="auto"/>
              <w:rPr>
                <w:rFonts w:cs="David"/>
                <w:sz w:val="26"/>
                <w:szCs w:val="26"/>
              </w:rPr>
            </w:pPr>
            <w:r>
              <w:rPr>
                <w:rFonts w:cs="David"/>
                <w:sz w:val="26"/>
                <w:szCs w:val="26"/>
                <w:rtl/>
              </w:rPr>
              <w:t>2.</w:t>
            </w:r>
          </w:p>
        </w:tc>
        <w:tc>
          <w:tcPr>
            <w:tcW w:w="6837" w:type="dxa"/>
            <w:gridSpan w:val="2"/>
            <w:tcBorders>
              <w:top w:val="nil"/>
              <w:left w:val="nil"/>
              <w:bottom w:val="nil"/>
              <w:right w:val="nil"/>
            </w:tcBorders>
          </w:tcPr>
          <w:p w:rsidR="00000000" w:rsidRDefault="003C555A">
            <w:pPr>
              <w:spacing w:after="120" w:line="360" w:lineRule="auto"/>
              <w:jc w:val="both"/>
              <w:rPr>
                <w:rFonts w:cs="David"/>
                <w:sz w:val="26"/>
                <w:szCs w:val="26"/>
                <w:rtl/>
              </w:rPr>
            </w:pPr>
            <w:r>
              <w:rPr>
                <w:rFonts w:cs="David"/>
                <w:sz w:val="26"/>
                <w:szCs w:val="26"/>
                <w:rtl/>
              </w:rPr>
              <w:t>בסעיף 8(ב) לחוק העי</w:t>
            </w:r>
            <w:r>
              <w:rPr>
                <w:rFonts w:cs="David"/>
                <w:sz w:val="26"/>
                <w:szCs w:val="26"/>
                <w:rtl/>
              </w:rPr>
              <w:t xml:space="preserve">קרי, בסופו יבוא "שר התעשיה, המסחר והתעסוקה, באישור ועדת העבודה, הרווחה והבריאות של הכנסת יקבע בתקנות דרכים לאכיפתו של חוק זה."  </w:t>
            </w:r>
          </w:p>
        </w:tc>
      </w:tr>
    </w:tbl>
    <w:p w:rsidR="00000000" w:rsidRDefault="003C555A">
      <w:pPr>
        <w:spacing w:line="360" w:lineRule="auto"/>
        <w:rPr>
          <w:rFonts w:cs="David"/>
          <w:sz w:val="26"/>
          <w:szCs w:val="26"/>
          <w:rtl/>
        </w:rPr>
      </w:pPr>
    </w:p>
    <w:p w:rsidR="00000000" w:rsidRDefault="003C555A">
      <w:pPr>
        <w:pStyle w:val="1"/>
        <w:spacing w:line="360" w:lineRule="auto"/>
        <w:rPr>
          <w:rFonts w:cs="David"/>
          <w:rtl/>
        </w:rPr>
      </w:pPr>
      <w:r>
        <w:rPr>
          <w:rFonts w:cs="David"/>
          <w:rtl/>
        </w:rPr>
        <w:t>דברי - הסבר</w:t>
      </w:r>
    </w:p>
    <w:p w:rsidR="00000000" w:rsidRDefault="003C555A">
      <w:pPr>
        <w:spacing w:line="360" w:lineRule="auto"/>
        <w:jc w:val="both"/>
        <w:rPr>
          <w:rFonts w:cs="David"/>
          <w:sz w:val="26"/>
          <w:szCs w:val="26"/>
          <w:rtl/>
        </w:rPr>
      </w:pPr>
    </w:p>
    <w:p w:rsidR="00000000" w:rsidRDefault="003C555A">
      <w:pPr>
        <w:spacing w:line="360" w:lineRule="auto"/>
        <w:jc w:val="both"/>
        <w:rPr>
          <w:rFonts w:cs="David"/>
          <w:sz w:val="26"/>
          <w:szCs w:val="26"/>
          <w:rtl/>
        </w:rPr>
      </w:pPr>
      <w:r>
        <w:rPr>
          <w:rFonts w:cs="David"/>
          <w:sz w:val="26"/>
          <w:szCs w:val="26"/>
          <w:rtl/>
        </w:rPr>
        <w:t xml:space="preserve">חוק הודעה מוקדמת לפיטורים ולהתפטרות, התשס"א-2001, קובע בסעיף 8 כי על המעביד לתת לעובדו בסיום העבודה, אישור בכתב </w:t>
      </w:r>
      <w:r>
        <w:rPr>
          <w:rFonts w:cs="David"/>
          <w:sz w:val="26"/>
          <w:szCs w:val="26"/>
          <w:rtl/>
        </w:rPr>
        <w:t>בדבר תחילתם וסיומם של יחסי העבודה. סעיף 8(ב) קובע סנקציה של קנס באם המעביד לא מספק אישור זה לעובד בתוך 14 יום מיום שדרש זאת העובד.</w:t>
      </w:r>
    </w:p>
    <w:p w:rsidR="00000000" w:rsidRDefault="003C555A">
      <w:pPr>
        <w:spacing w:line="360" w:lineRule="auto"/>
        <w:jc w:val="both"/>
        <w:rPr>
          <w:rFonts w:cs="David"/>
          <w:sz w:val="26"/>
          <w:szCs w:val="26"/>
          <w:rtl/>
        </w:rPr>
      </w:pPr>
    </w:p>
    <w:p w:rsidR="00000000" w:rsidRDefault="003C555A">
      <w:pPr>
        <w:spacing w:line="360" w:lineRule="auto"/>
        <w:jc w:val="both"/>
        <w:rPr>
          <w:rFonts w:cs="David"/>
          <w:sz w:val="26"/>
          <w:szCs w:val="26"/>
          <w:rtl/>
        </w:rPr>
      </w:pPr>
      <w:r>
        <w:rPr>
          <w:rFonts w:cs="David"/>
          <w:sz w:val="26"/>
          <w:szCs w:val="26"/>
          <w:rtl/>
        </w:rPr>
        <w:t xml:space="preserve">למרות האמור לעיל נתקלים עובדים רבים בקשיים מרובים, בסחבת ואף בסירוב לתת להם את האישור, דבר הפוגע ישירות בסיכויים של העובדים </w:t>
      </w:r>
      <w:r>
        <w:rPr>
          <w:rFonts w:cs="David"/>
          <w:sz w:val="26"/>
          <w:szCs w:val="26"/>
          <w:rtl/>
        </w:rPr>
        <w:t>לקבל דמי אבטלה לעת התייצבותם בלשכות התעסוקה.</w:t>
      </w:r>
    </w:p>
    <w:p w:rsidR="00000000" w:rsidRDefault="003C555A">
      <w:pPr>
        <w:spacing w:line="360" w:lineRule="auto"/>
        <w:jc w:val="both"/>
        <w:rPr>
          <w:rFonts w:cs="David"/>
          <w:sz w:val="26"/>
          <w:szCs w:val="26"/>
          <w:rtl/>
        </w:rPr>
      </w:pPr>
    </w:p>
    <w:p w:rsidR="00000000" w:rsidRDefault="003C555A">
      <w:pPr>
        <w:spacing w:line="360" w:lineRule="auto"/>
        <w:jc w:val="both"/>
        <w:rPr>
          <w:rFonts w:cs="David"/>
          <w:sz w:val="26"/>
          <w:szCs w:val="26"/>
          <w:rtl/>
        </w:rPr>
      </w:pPr>
      <w:r>
        <w:rPr>
          <w:rFonts w:cs="David"/>
          <w:sz w:val="26"/>
          <w:szCs w:val="26"/>
          <w:rtl/>
        </w:rPr>
        <w:t>אי לכך מוצע לקבוע כי שר התעשיה, המסחר והתעסוקה יתקין תקנות לענין אכיפת ההסדר המחייב את המעביד לתת אישור בגין סיום העבודה ובכך לסתום את הפרצה המהווה אבן נגף בפני עובדים בדרכם לקבל דמי אבטלה ומימוש זכויות נוספות.</w:t>
      </w:r>
    </w:p>
    <w:p w:rsidR="00000000" w:rsidRDefault="003C555A">
      <w:pPr>
        <w:spacing w:line="360" w:lineRule="auto"/>
        <w:jc w:val="both"/>
        <w:rPr>
          <w:rFonts w:cs="David"/>
          <w:sz w:val="26"/>
          <w:szCs w:val="26"/>
          <w:rtl/>
        </w:rPr>
      </w:pPr>
    </w:p>
    <w:p w:rsidR="00000000" w:rsidRDefault="003C555A">
      <w:pPr>
        <w:spacing w:line="360" w:lineRule="auto"/>
        <w:jc w:val="both"/>
        <w:rPr>
          <w:rFonts w:cs="David"/>
          <w:sz w:val="26"/>
          <w:szCs w:val="26"/>
          <w:rtl/>
        </w:rPr>
      </w:pPr>
      <w:r>
        <w:rPr>
          <w:rFonts w:cs="David"/>
          <w:sz w:val="26"/>
          <w:szCs w:val="26"/>
          <w:rtl/>
        </w:rPr>
        <w:t>כמו כן מוצע לחייב את המעביד בדמי האבטלה שנמנעו מן העובד בשל כך, וכן כי תוטל חובה על שר המשפטים להורות על קיום הליך מזורז בתובענות מסוג זה.</w:t>
      </w:r>
    </w:p>
    <w:p w:rsidR="00000000" w:rsidRDefault="003C555A">
      <w:pPr>
        <w:pStyle w:val="a3"/>
        <w:spacing w:line="360" w:lineRule="auto"/>
        <w:jc w:val="left"/>
        <w:rPr>
          <w:rFonts w:cs="David"/>
          <w:b w:val="0"/>
          <w:bCs w:val="0"/>
          <w:sz w:val="26"/>
          <w:szCs w:val="26"/>
          <w:u w:val="none"/>
          <w:rtl/>
        </w:rPr>
      </w:pPr>
    </w:p>
    <w:p w:rsidR="00000000" w:rsidRDefault="003C555A">
      <w:pPr>
        <w:pStyle w:val="a3"/>
        <w:spacing w:line="360" w:lineRule="auto"/>
        <w:jc w:val="both"/>
        <w:rPr>
          <w:rFonts w:cs="David"/>
          <w:b w:val="0"/>
          <w:bCs w:val="0"/>
          <w:sz w:val="26"/>
          <w:szCs w:val="26"/>
          <w:u w:val="none"/>
          <w:rtl/>
        </w:rPr>
      </w:pPr>
      <w:r>
        <w:rPr>
          <w:rFonts w:cs="David"/>
          <w:b w:val="0"/>
          <w:bCs w:val="0"/>
          <w:sz w:val="26"/>
          <w:szCs w:val="26"/>
          <w:u w:val="none"/>
          <w:rtl/>
        </w:rPr>
        <w:t xml:space="preserve">הצעת חוק דומה בעיקרה הונחה על שולחן הכנסת החמש-עשרה על-ידי חבר הכנסת אילן גילאון (פ/2213). </w:t>
      </w:r>
    </w:p>
    <w:p w:rsidR="00000000" w:rsidRDefault="003C555A">
      <w:pPr>
        <w:pStyle w:val="a3"/>
        <w:spacing w:line="360" w:lineRule="auto"/>
        <w:jc w:val="both"/>
        <w:rPr>
          <w:rFonts w:cs="David"/>
          <w:b w:val="0"/>
          <w:bCs w:val="0"/>
          <w:sz w:val="26"/>
          <w:szCs w:val="26"/>
          <w:u w:val="none"/>
          <w:rtl/>
        </w:rPr>
      </w:pPr>
      <w:r>
        <w:rPr>
          <w:rFonts w:cs="David"/>
          <w:b w:val="0"/>
          <w:bCs w:val="0"/>
          <w:sz w:val="26"/>
          <w:szCs w:val="26"/>
          <w:u w:val="none"/>
          <w:rtl/>
        </w:rPr>
        <w:t>הצעות חוק דומות בעיקרן</w:t>
      </w:r>
      <w:r>
        <w:rPr>
          <w:rFonts w:cs="David"/>
          <w:b w:val="0"/>
          <w:bCs w:val="0"/>
          <w:sz w:val="26"/>
          <w:szCs w:val="26"/>
          <w:u w:val="none"/>
          <w:rtl/>
        </w:rPr>
        <w:t xml:space="preserve"> הונחו על שולחן הכנסת השש-עשרה על-ידי חבר הכנסת רן כהן (פ/1004), ועל-ידי חברת הכנסת גילה פינקלשטיין (פ/1552).  </w:t>
      </w:r>
    </w:p>
    <w:p w:rsidR="00000000" w:rsidRDefault="003C555A">
      <w:pPr>
        <w:pStyle w:val="a3"/>
        <w:spacing w:line="360" w:lineRule="auto"/>
        <w:jc w:val="both"/>
        <w:rPr>
          <w:rFonts w:cs="David"/>
          <w:b w:val="0"/>
          <w:bCs w:val="0"/>
          <w:sz w:val="26"/>
          <w:szCs w:val="26"/>
          <w:u w:val="none"/>
          <w:rtl/>
        </w:rPr>
      </w:pPr>
    </w:p>
    <w:p w:rsidR="00000000" w:rsidRDefault="003C555A">
      <w:pPr>
        <w:pStyle w:val="a3"/>
        <w:spacing w:line="360" w:lineRule="auto"/>
        <w:jc w:val="left"/>
        <w:rPr>
          <w:rFonts w:cs="David"/>
          <w:b w:val="0"/>
          <w:bCs w:val="0"/>
          <w:sz w:val="26"/>
          <w:szCs w:val="26"/>
          <w:u w:val="none"/>
          <w:rtl/>
        </w:rPr>
      </w:pPr>
    </w:p>
    <w:p w:rsidR="00000000" w:rsidRDefault="003C555A">
      <w:pPr>
        <w:pStyle w:val="a3"/>
        <w:spacing w:line="360" w:lineRule="auto"/>
        <w:jc w:val="left"/>
        <w:rPr>
          <w:rFonts w:cs="David"/>
          <w:b w:val="0"/>
          <w:bCs w:val="0"/>
          <w:sz w:val="26"/>
          <w:szCs w:val="26"/>
          <w:u w:val="none"/>
          <w:rtl/>
        </w:rPr>
      </w:pPr>
    </w:p>
    <w:p w:rsidR="00000000" w:rsidRDefault="003C555A">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3C555A">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3C555A">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3C555A">
      <w:pPr>
        <w:pStyle w:val="a3"/>
        <w:spacing w:line="360" w:lineRule="auto"/>
        <w:jc w:val="left"/>
        <w:rPr>
          <w:rFonts w:cs="David"/>
          <w:b w:val="0"/>
          <w:bCs w:val="0"/>
          <w:sz w:val="26"/>
          <w:szCs w:val="26"/>
          <w:u w:val="none"/>
          <w:rtl/>
        </w:rPr>
      </w:pPr>
      <w:r>
        <w:rPr>
          <w:rFonts w:cs="David"/>
          <w:b w:val="0"/>
          <w:bCs w:val="0"/>
          <w:sz w:val="26"/>
          <w:szCs w:val="26"/>
          <w:u w:val="none"/>
          <w:rtl/>
        </w:rPr>
        <w:t>כ"ג בסיוון התשס"ו - 19.6.06</w:t>
      </w:r>
    </w:p>
    <w:p w:rsidR="00000000" w:rsidRDefault="003C555A">
      <w:pPr>
        <w:pStyle w:val="a3"/>
        <w:spacing w:line="360" w:lineRule="auto"/>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555A">
      <w:r>
        <w:separator/>
      </w:r>
    </w:p>
  </w:endnote>
  <w:endnote w:type="continuationSeparator" w:id="0">
    <w:p w:rsidR="00000000" w:rsidRDefault="003C5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555A">
      <w:r>
        <w:separator/>
      </w:r>
    </w:p>
  </w:footnote>
  <w:footnote w:type="continuationSeparator" w:id="0">
    <w:p w:rsidR="00000000" w:rsidRDefault="003C555A">
      <w:r>
        <w:continuationSeparator/>
      </w:r>
    </w:p>
  </w:footnote>
  <w:footnote w:id="1">
    <w:p w:rsidR="00000000" w:rsidRDefault="003C555A">
      <w:pPr>
        <w:pStyle w:val="a8"/>
      </w:pPr>
      <w:r>
        <w:rPr>
          <w:rStyle w:val="aa"/>
          <w:rFonts w:cs="David"/>
        </w:rPr>
        <w:footnoteRef/>
      </w:r>
      <w:r>
        <w:rPr>
          <w:rFonts w:cs="David"/>
          <w:rtl/>
        </w:rPr>
        <w:t xml:space="preserve"> ס"ח התשס"א, עמ' 378.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555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3C555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634ôéöåéé ôéèåøéí - àéùåø äîòáéã òì ñéåí òáåãä - øï ëäï.doc"/>
    <w:docVar w:name="StartMode" w:val="2"/>
  </w:docVars>
  <w:rsids>
    <w:rsidRoot w:val="003C555A"/>
    <w:rsid w:val="003C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316</Words>
  <Characters>1583</Characters>
  <Application>Microsoft Office Word</Application>
  <DocSecurity>0</DocSecurity>
  <Lines>13</Lines>
  <Paragraphs>3</Paragraphs>
  <ScaleCrop>false</ScaleCrop>
  <Company>knesset</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פיצויי פיטורין (תיקון - אישור המעביד על סיום העבודה), התשס"ו-2006</dc:title>
  <dc:subject/>
  <dc:creator>Knesset</dc:creator>
  <cp:keywords/>
  <dc:description/>
  <cp:lastModifiedBy>שמואל כוכב</cp:lastModifiedBy>
  <cp:revision>2</cp:revision>
  <cp:lastPrinted>2006-05-31T11:24:00Z</cp:lastPrinted>
  <dcterms:created xsi:type="dcterms:W3CDTF">2015-02-03T19:20:00Z</dcterms:created>
  <dcterms:modified xsi:type="dcterms:W3CDTF">2015-02-03T19:20:00Z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רן כהן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03316006</vt:lpwstr>
  </property>
  <property fmtid="{D5CDD505-2E9C-101B-9397-08002B2CF9AE}" pid="10" name="מספר הצעת חוק למיון">
    <vt:lpwstr>609</vt:lpwstr>
  </property>
  <property fmtid="{D5CDD505-2E9C-101B-9397-08002B2CF9AE}" pid="11" name="SDDocDate">
    <vt:lpwstr>2006-06-14T00:00:00Z</vt:lpwstr>
  </property>
  <property fmtid="{D5CDD505-2E9C-101B-9397-08002B2CF9AE}" pid="12" name="SDHebDate">
    <vt:lpwstr>י"ח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פ/609/17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