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C6769">
      <w:pPr>
        <w:pStyle w:val="a3"/>
        <w:rPr>
          <w:rFonts w:cs="David"/>
          <w:b w:val="0"/>
          <w:bCs w:val="0"/>
          <w:sz w:val="26"/>
          <w:szCs w:val="26"/>
          <w:u w:val="none"/>
          <w:rtl/>
        </w:rPr>
      </w:pPr>
      <w:bookmarkStart w:id="0" w:name="_GoBack"/>
      <w:bookmarkEnd w:id="0"/>
      <w:r>
        <w:rPr>
          <w:rFonts w:cs="David"/>
          <w:u w:val="none"/>
          <w:rtl/>
        </w:rPr>
        <w:t>הכנסת השבע-עשרה</w:t>
      </w:r>
    </w:p>
    <w:p w:rsidR="00000000" w:rsidRDefault="004C6769">
      <w:pPr>
        <w:rPr>
          <w:rFonts w:cs="David"/>
          <w:sz w:val="26"/>
          <w:szCs w:val="26"/>
          <w:rtl/>
        </w:rPr>
      </w:pPr>
    </w:p>
    <w:p w:rsidR="00000000" w:rsidRDefault="004C6769">
      <w:pPr>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068"/>
      </w:tblGrid>
      <w:tr w:rsidR="00000000">
        <w:tblPrEx>
          <w:tblCellMar>
            <w:top w:w="0" w:type="dxa"/>
            <w:bottom w:w="0" w:type="dxa"/>
          </w:tblCellMar>
        </w:tblPrEx>
        <w:tc>
          <w:tcPr>
            <w:tcW w:w="4068" w:type="dxa"/>
            <w:tcBorders>
              <w:top w:val="nil"/>
              <w:left w:val="nil"/>
              <w:bottom w:val="single" w:sz="4" w:space="0" w:color="auto"/>
              <w:right w:val="nil"/>
            </w:tcBorders>
          </w:tcPr>
          <w:p w:rsidR="00000000" w:rsidRDefault="004C6769">
            <w:pPr>
              <w:spacing w:after="120"/>
              <w:jc w:val="right"/>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זבולון אורלב</w:t>
            </w:r>
            <w:r>
              <w:rPr>
                <w:rFonts w:cs="David"/>
                <w:sz w:val="26"/>
                <w:szCs w:val="26"/>
                <w:rtl/>
              </w:rPr>
              <w:t xml:space="preserve"> </w:t>
            </w:r>
          </w:p>
        </w:tc>
      </w:tr>
    </w:tbl>
    <w:p w:rsidR="00000000" w:rsidRDefault="004C6769">
      <w:pPr>
        <w:jc w:val="center"/>
        <w:rPr>
          <w:rFonts w:cs="David"/>
          <w:b/>
          <w:bCs/>
          <w:sz w:val="32"/>
          <w:szCs w:val="32"/>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t xml:space="preserve">    </w:t>
      </w:r>
      <w:r>
        <w:rPr>
          <w:rFonts w:cs="David"/>
          <w:b/>
          <w:bCs/>
          <w:rtl/>
        </w:rPr>
        <w:t>פ/694/17</w:t>
      </w:r>
    </w:p>
    <w:p w:rsidR="00000000" w:rsidRDefault="004C6769">
      <w:pPr>
        <w:rPr>
          <w:rFonts w:cs="David"/>
          <w:sz w:val="26"/>
          <w:szCs w:val="26"/>
          <w:rtl/>
        </w:rPr>
      </w:pPr>
    </w:p>
    <w:p w:rsidR="00000000" w:rsidRDefault="004C6769">
      <w:pPr>
        <w:spacing w:line="360" w:lineRule="auto"/>
        <w:jc w:val="center"/>
        <w:rPr>
          <w:rFonts w:cs="David"/>
          <w:b/>
          <w:bCs/>
          <w:sz w:val="28"/>
          <w:szCs w:val="28"/>
          <w:rtl/>
        </w:rPr>
      </w:pPr>
      <w:r>
        <w:rPr>
          <w:rFonts w:cs="David"/>
          <w:b/>
          <w:bCs/>
          <w:sz w:val="28"/>
          <w:szCs w:val="28"/>
          <w:rtl/>
        </w:rPr>
        <w:t>הצעת חוק מאבק באנטישמיות (תיקוני חקיקה), התשס"ו-2006</w:t>
      </w:r>
    </w:p>
    <w:p w:rsidR="00000000" w:rsidRDefault="004C6769">
      <w:pPr>
        <w:spacing w:line="360" w:lineRule="auto"/>
      </w:pPr>
    </w:p>
    <w:tbl>
      <w:tblPr>
        <w:bidiVisual/>
        <w:tblW w:w="0" w:type="auto"/>
        <w:tblLook w:val="0000" w:firstRow="0" w:lastRow="0" w:firstColumn="0" w:lastColumn="0" w:noHBand="0" w:noVBand="0"/>
      </w:tblPr>
      <w:tblGrid>
        <w:gridCol w:w="1129"/>
        <w:gridCol w:w="473"/>
        <w:gridCol w:w="1411"/>
        <w:gridCol w:w="699"/>
        <w:gridCol w:w="150"/>
        <w:gridCol w:w="548"/>
        <w:gridCol w:w="4112"/>
      </w:tblGrid>
      <w:tr w:rsidR="00000000">
        <w:trPr>
          <w:trHeight w:val="490"/>
        </w:trPr>
        <w:tc>
          <w:tcPr>
            <w:tcW w:w="1131" w:type="dxa"/>
            <w:tcBorders>
              <w:top w:val="nil"/>
              <w:left w:val="nil"/>
              <w:bottom w:val="nil"/>
              <w:right w:val="nil"/>
            </w:tcBorders>
          </w:tcPr>
          <w:p w:rsidR="00000000" w:rsidRDefault="004C6769">
            <w:pPr>
              <w:rPr>
                <w:rFonts w:cs="David"/>
                <w:sz w:val="26"/>
                <w:szCs w:val="26"/>
                <w:rtl/>
              </w:rPr>
            </w:pPr>
            <w:r>
              <w:rPr>
                <w:rFonts w:cs="David"/>
                <w:sz w:val="26"/>
                <w:szCs w:val="26"/>
                <w:rtl/>
              </w:rPr>
              <w:t>תיקון חוק העונשין</w:t>
            </w:r>
          </w:p>
        </w:tc>
        <w:tc>
          <w:tcPr>
            <w:tcW w:w="476" w:type="dxa"/>
            <w:tcBorders>
              <w:top w:val="nil"/>
              <w:left w:val="nil"/>
              <w:bottom w:val="nil"/>
              <w:right w:val="nil"/>
            </w:tcBorders>
          </w:tcPr>
          <w:p w:rsidR="00000000" w:rsidRDefault="004C6769">
            <w:pPr>
              <w:spacing w:line="360" w:lineRule="auto"/>
              <w:jc w:val="both"/>
              <w:rPr>
                <w:rFonts w:cs="David"/>
                <w:sz w:val="26"/>
                <w:szCs w:val="26"/>
                <w:rtl/>
              </w:rPr>
            </w:pPr>
            <w:r>
              <w:rPr>
                <w:rFonts w:cs="David"/>
                <w:sz w:val="26"/>
                <w:szCs w:val="26"/>
                <w:rtl/>
              </w:rPr>
              <w:t>1.</w:t>
            </w:r>
          </w:p>
        </w:tc>
        <w:tc>
          <w:tcPr>
            <w:tcW w:w="6915" w:type="dxa"/>
            <w:gridSpan w:val="5"/>
            <w:tcBorders>
              <w:top w:val="nil"/>
              <w:left w:val="nil"/>
              <w:bottom w:val="nil"/>
              <w:right w:val="nil"/>
            </w:tcBorders>
          </w:tcPr>
          <w:p w:rsidR="00000000" w:rsidRDefault="004C6769">
            <w:pPr>
              <w:spacing w:line="360" w:lineRule="auto"/>
              <w:jc w:val="both"/>
              <w:rPr>
                <w:rFonts w:cs="David"/>
                <w:sz w:val="26"/>
                <w:szCs w:val="26"/>
                <w:rtl/>
              </w:rPr>
            </w:pPr>
            <w:r>
              <w:rPr>
                <w:rFonts w:cs="David"/>
                <w:sz w:val="26"/>
                <w:szCs w:val="26"/>
                <w:rtl/>
              </w:rPr>
              <w:t>בחוק ה</w:t>
            </w:r>
            <w:r>
              <w:rPr>
                <w:rFonts w:cs="David"/>
                <w:sz w:val="26"/>
                <w:szCs w:val="26"/>
                <w:rtl/>
              </w:rPr>
              <w:t>עונשין, תשל"ז-1977</w:t>
            </w:r>
            <w:r>
              <w:rPr>
                <w:rStyle w:val="aa"/>
                <w:rFonts w:cs="David"/>
                <w:sz w:val="26"/>
                <w:szCs w:val="26"/>
                <w:rtl/>
              </w:rPr>
              <w:footnoteReference w:id="1"/>
            </w:r>
            <w:r>
              <w:rPr>
                <w:rFonts w:cs="David"/>
                <w:sz w:val="26"/>
                <w:szCs w:val="26"/>
                <w:rtl/>
              </w:rPr>
              <w:t>, לאחר סימן א'2 בפרק ח' יבוא:</w:t>
            </w:r>
          </w:p>
          <w:p w:rsidR="00000000" w:rsidRDefault="004C6769">
            <w:pPr>
              <w:spacing w:line="360" w:lineRule="auto"/>
              <w:jc w:val="both"/>
              <w:rPr>
                <w:rFonts w:cs="David"/>
                <w:sz w:val="26"/>
                <w:szCs w:val="26"/>
                <w:rtl/>
              </w:rPr>
            </w:pPr>
          </w:p>
          <w:p w:rsidR="00000000" w:rsidRDefault="004C6769">
            <w:pPr>
              <w:spacing w:line="360" w:lineRule="auto"/>
              <w:jc w:val="both"/>
              <w:rPr>
                <w:rFonts w:cs="David"/>
                <w:sz w:val="26"/>
                <w:szCs w:val="26"/>
                <w:rtl/>
              </w:rPr>
            </w:pPr>
          </w:p>
        </w:tc>
      </w:tr>
      <w:tr w:rsidR="00000000">
        <w:trPr>
          <w:trHeight w:val="490"/>
        </w:trPr>
        <w:tc>
          <w:tcPr>
            <w:tcW w:w="1131" w:type="dxa"/>
            <w:tcBorders>
              <w:top w:val="nil"/>
              <w:left w:val="nil"/>
              <w:bottom w:val="nil"/>
              <w:right w:val="nil"/>
            </w:tcBorders>
          </w:tcPr>
          <w:p w:rsidR="00000000" w:rsidRDefault="004C6769">
            <w:pPr>
              <w:rPr>
                <w:rFonts w:cs="David"/>
                <w:sz w:val="26"/>
                <w:szCs w:val="26"/>
                <w:rtl/>
              </w:rPr>
            </w:pPr>
          </w:p>
        </w:tc>
        <w:tc>
          <w:tcPr>
            <w:tcW w:w="476" w:type="dxa"/>
            <w:tcBorders>
              <w:top w:val="nil"/>
              <w:left w:val="nil"/>
              <w:bottom w:val="nil"/>
              <w:right w:val="nil"/>
            </w:tcBorders>
          </w:tcPr>
          <w:p w:rsidR="00000000" w:rsidRDefault="004C6769">
            <w:pPr>
              <w:spacing w:line="360" w:lineRule="auto"/>
              <w:jc w:val="both"/>
              <w:rPr>
                <w:rFonts w:cs="David"/>
                <w:sz w:val="26"/>
                <w:szCs w:val="26"/>
                <w:rtl/>
              </w:rPr>
            </w:pPr>
          </w:p>
        </w:tc>
        <w:tc>
          <w:tcPr>
            <w:tcW w:w="6915" w:type="dxa"/>
            <w:gridSpan w:val="5"/>
            <w:tcBorders>
              <w:top w:val="nil"/>
              <w:left w:val="nil"/>
              <w:bottom w:val="nil"/>
              <w:right w:val="nil"/>
            </w:tcBorders>
          </w:tcPr>
          <w:p w:rsidR="00000000" w:rsidRDefault="004C6769">
            <w:pPr>
              <w:spacing w:line="360" w:lineRule="auto"/>
              <w:jc w:val="center"/>
              <w:rPr>
                <w:rFonts w:cs="David"/>
                <w:sz w:val="26"/>
                <w:szCs w:val="26"/>
                <w:rtl/>
              </w:rPr>
            </w:pPr>
            <w:r>
              <w:rPr>
                <w:rFonts w:cs="David"/>
                <w:sz w:val="26"/>
                <w:szCs w:val="26"/>
                <w:rtl/>
              </w:rPr>
              <w:t>"סימן א'3: אנטישמיות</w:t>
            </w:r>
          </w:p>
          <w:p w:rsidR="00000000" w:rsidRDefault="004C6769">
            <w:pPr>
              <w:spacing w:line="360" w:lineRule="auto"/>
              <w:jc w:val="center"/>
              <w:rPr>
                <w:rFonts w:cs="David"/>
                <w:sz w:val="26"/>
                <w:szCs w:val="26"/>
                <w:rtl/>
              </w:rPr>
            </w:pPr>
          </w:p>
        </w:tc>
      </w:tr>
      <w:tr w:rsidR="00000000">
        <w:trPr>
          <w:cantSplit/>
          <w:trHeight w:val="490"/>
        </w:trPr>
        <w:tc>
          <w:tcPr>
            <w:tcW w:w="1131" w:type="dxa"/>
            <w:tcBorders>
              <w:top w:val="nil"/>
              <w:left w:val="nil"/>
              <w:bottom w:val="nil"/>
              <w:right w:val="nil"/>
            </w:tcBorders>
          </w:tcPr>
          <w:p w:rsidR="00000000" w:rsidRDefault="004C6769">
            <w:pPr>
              <w:rPr>
                <w:rFonts w:cs="David"/>
                <w:sz w:val="26"/>
                <w:szCs w:val="26"/>
                <w:rtl/>
              </w:rPr>
            </w:pPr>
          </w:p>
        </w:tc>
        <w:tc>
          <w:tcPr>
            <w:tcW w:w="476" w:type="dxa"/>
            <w:tcBorders>
              <w:top w:val="nil"/>
              <w:left w:val="nil"/>
              <w:bottom w:val="nil"/>
              <w:right w:val="nil"/>
            </w:tcBorders>
          </w:tcPr>
          <w:p w:rsidR="00000000" w:rsidRDefault="004C6769">
            <w:pPr>
              <w:spacing w:line="360" w:lineRule="auto"/>
              <w:jc w:val="both"/>
              <w:rPr>
                <w:rFonts w:cs="David"/>
                <w:sz w:val="26"/>
                <w:szCs w:val="26"/>
                <w:rtl/>
              </w:rPr>
            </w:pPr>
          </w:p>
        </w:tc>
        <w:tc>
          <w:tcPr>
            <w:tcW w:w="1411" w:type="dxa"/>
            <w:vMerge w:val="restart"/>
            <w:tcBorders>
              <w:top w:val="nil"/>
              <w:left w:val="nil"/>
              <w:bottom w:val="nil"/>
              <w:right w:val="nil"/>
            </w:tcBorders>
          </w:tcPr>
          <w:p w:rsidR="00000000" w:rsidRDefault="004C6769">
            <w:pPr>
              <w:jc w:val="both"/>
              <w:rPr>
                <w:rFonts w:cs="David"/>
                <w:sz w:val="26"/>
                <w:szCs w:val="26"/>
                <w:rtl/>
              </w:rPr>
            </w:pPr>
            <w:r>
              <w:rPr>
                <w:rFonts w:cs="David"/>
                <w:sz w:val="26"/>
                <w:szCs w:val="26"/>
                <w:rtl/>
              </w:rPr>
              <w:t>הסתה לאנטישמיות</w:t>
            </w:r>
          </w:p>
        </w:tc>
        <w:tc>
          <w:tcPr>
            <w:tcW w:w="738" w:type="dxa"/>
            <w:gridSpan w:val="2"/>
            <w:tcBorders>
              <w:top w:val="nil"/>
              <w:left w:val="nil"/>
              <w:bottom w:val="nil"/>
              <w:right w:val="nil"/>
            </w:tcBorders>
          </w:tcPr>
          <w:p w:rsidR="00000000" w:rsidRDefault="004C6769">
            <w:pPr>
              <w:spacing w:line="360" w:lineRule="auto"/>
              <w:jc w:val="both"/>
              <w:rPr>
                <w:rFonts w:cs="David"/>
                <w:sz w:val="26"/>
                <w:szCs w:val="26"/>
                <w:rtl/>
              </w:rPr>
            </w:pPr>
            <w:r>
              <w:rPr>
                <w:rFonts w:cs="David"/>
                <w:sz w:val="26"/>
                <w:szCs w:val="26"/>
                <w:rtl/>
              </w:rPr>
              <w:t>144ז.</w:t>
            </w:r>
          </w:p>
        </w:tc>
        <w:tc>
          <w:tcPr>
            <w:tcW w:w="550" w:type="dxa"/>
            <w:tcBorders>
              <w:top w:val="nil"/>
              <w:left w:val="nil"/>
              <w:bottom w:val="nil"/>
              <w:right w:val="nil"/>
            </w:tcBorders>
          </w:tcPr>
          <w:p w:rsidR="00000000" w:rsidRDefault="004C6769">
            <w:pPr>
              <w:spacing w:line="360" w:lineRule="auto"/>
              <w:jc w:val="both"/>
              <w:rPr>
                <w:rFonts w:cs="David"/>
                <w:sz w:val="26"/>
                <w:szCs w:val="26"/>
                <w:rtl/>
              </w:rPr>
            </w:pPr>
            <w:r>
              <w:rPr>
                <w:rFonts w:cs="David"/>
                <w:sz w:val="26"/>
                <w:szCs w:val="26"/>
                <w:rtl/>
              </w:rPr>
              <w:t>(א)</w:t>
            </w:r>
          </w:p>
          <w:p w:rsidR="00000000" w:rsidRDefault="004C6769">
            <w:pPr>
              <w:spacing w:line="360" w:lineRule="auto"/>
              <w:jc w:val="both"/>
              <w:rPr>
                <w:rFonts w:cs="David"/>
                <w:sz w:val="26"/>
                <w:szCs w:val="26"/>
                <w:rtl/>
              </w:rPr>
            </w:pPr>
          </w:p>
        </w:tc>
        <w:tc>
          <w:tcPr>
            <w:tcW w:w="4216" w:type="dxa"/>
            <w:tcBorders>
              <w:top w:val="nil"/>
              <w:left w:val="nil"/>
              <w:bottom w:val="nil"/>
              <w:right w:val="nil"/>
            </w:tcBorders>
          </w:tcPr>
          <w:p w:rsidR="00000000" w:rsidRDefault="004C6769">
            <w:pPr>
              <w:spacing w:line="360" w:lineRule="auto"/>
              <w:jc w:val="both"/>
              <w:rPr>
                <w:rFonts w:cs="David"/>
                <w:sz w:val="26"/>
                <w:szCs w:val="26"/>
                <w:rtl/>
              </w:rPr>
            </w:pPr>
            <w:r>
              <w:rPr>
                <w:rFonts w:cs="David"/>
                <w:sz w:val="26"/>
                <w:szCs w:val="26"/>
                <w:rtl/>
              </w:rPr>
              <w:t>לעניין פרק זה "אנטישמיות" – שנאת יהודים בשל יהדותם.</w:t>
            </w:r>
          </w:p>
        </w:tc>
      </w:tr>
      <w:tr w:rsidR="00000000">
        <w:trPr>
          <w:cantSplit/>
          <w:trHeight w:val="490"/>
        </w:trPr>
        <w:tc>
          <w:tcPr>
            <w:tcW w:w="1131" w:type="dxa"/>
            <w:tcBorders>
              <w:top w:val="nil"/>
              <w:left w:val="nil"/>
              <w:bottom w:val="nil"/>
              <w:right w:val="nil"/>
            </w:tcBorders>
          </w:tcPr>
          <w:p w:rsidR="00000000" w:rsidRDefault="004C6769">
            <w:pPr>
              <w:rPr>
                <w:rFonts w:cs="David"/>
                <w:sz w:val="26"/>
                <w:szCs w:val="26"/>
                <w:rtl/>
              </w:rPr>
            </w:pPr>
          </w:p>
        </w:tc>
        <w:tc>
          <w:tcPr>
            <w:tcW w:w="476" w:type="dxa"/>
            <w:tcBorders>
              <w:top w:val="nil"/>
              <w:left w:val="nil"/>
              <w:bottom w:val="nil"/>
              <w:right w:val="nil"/>
            </w:tcBorders>
          </w:tcPr>
          <w:p w:rsidR="00000000" w:rsidRDefault="004C6769">
            <w:pPr>
              <w:spacing w:line="360" w:lineRule="auto"/>
              <w:jc w:val="both"/>
              <w:rPr>
                <w:rFonts w:cs="David"/>
                <w:sz w:val="26"/>
                <w:szCs w:val="26"/>
                <w:rtl/>
              </w:rPr>
            </w:pPr>
          </w:p>
        </w:tc>
        <w:tc>
          <w:tcPr>
            <w:tcW w:w="1411" w:type="dxa"/>
            <w:vMerge/>
            <w:tcBorders>
              <w:top w:val="nil"/>
              <w:left w:val="nil"/>
              <w:bottom w:val="nil"/>
              <w:right w:val="nil"/>
            </w:tcBorders>
          </w:tcPr>
          <w:p w:rsidR="00000000" w:rsidRDefault="004C6769">
            <w:pPr>
              <w:spacing w:line="360" w:lineRule="auto"/>
              <w:jc w:val="both"/>
              <w:rPr>
                <w:rFonts w:cs="David"/>
                <w:sz w:val="26"/>
                <w:szCs w:val="26"/>
                <w:rtl/>
              </w:rPr>
            </w:pPr>
          </w:p>
        </w:tc>
        <w:tc>
          <w:tcPr>
            <w:tcW w:w="738" w:type="dxa"/>
            <w:gridSpan w:val="2"/>
            <w:tcBorders>
              <w:top w:val="nil"/>
              <w:left w:val="nil"/>
              <w:bottom w:val="nil"/>
              <w:right w:val="nil"/>
            </w:tcBorders>
          </w:tcPr>
          <w:p w:rsidR="00000000" w:rsidRDefault="004C6769">
            <w:pPr>
              <w:spacing w:line="360" w:lineRule="auto"/>
              <w:jc w:val="both"/>
              <w:rPr>
                <w:rFonts w:cs="David"/>
                <w:sz w:val="26"/>
                <w:szCs w:val="26"/>
                <w:rtl/>
              </w:rPr>
            </w:pPr>
          </w:p>
        </w:tc>
        <w:tc>
          <w:tcPr>
            <w:tcW w:w="550" w:type="dxa"/>
            <w:tcBorders>
              <w:top w:val="nil"/>
              <w:left w:val="nil"/>
              <w:bottom w:val="nil"/>
              <w:right w:val="nil"/>
            </w:tcBorders>
          </w:tcPr>
          <w:p w:rsidR="00000000" w:rsidRDefault="004C6769">
            <w:pPr>
              <w:spacing w:line="360" w:lineRule="auto"/>
              <w:jc w:val="both"/>
              <w:rPr>
                <w:rFonts w:cs="David"/>
                <w:sz w:val="26"/>
                <w:szCs w:val="26"/>
                <w:rtl/>
              </w:rPr>
            </w:pPr>
            <w:r>
              <w:rPr>
                <w:rFonts w:cs="David"/>
                <w:sz w:val="26"/>
                <w:szCs w:val="26"/>
                <w:rtl/>
              </w:rPr>
              <w:t>(ב)</w:t>
            </w:r>
          </w:p>
          <w:p w:rsidR="00000000" w:rsidRDefault="004C6769">
            <w:pPr>
              <w:spacing w:line="360" w:lineRule="auto"/>
              <w:jc w:val="both"/>
              <w:rPr>
                <w:rFonts w:cs="David"/>
                <w:sz w:val="26"/>
                <w:szCs w:val="26"/>
                <w:rtl/>
              </w:rPr>
            </w:pPr>
          </w:p>
        </w:tc>
        <w:tc>
          <w:tcPr>
            <w:tcW w:w="4216" w:type="dxa"/>
            <w:tcBorders>
              <w:top w:val="nil"/>
              <w:left w:val="nil"/>
              <w:bottom w:val="nil"/>
              <w:right w:val="nil"/>
            </w:tcBorders>
          </w:tcPr>
          <w:p w:rsidR="00000000" w:rsidRDefault="004C6769">
            <w:pPr>
              <w:spacing w:line="360" w:lineRule="auto"/>
              <w:jc w:val="both"/>
              <w:rPr>
                <w:rFonts w:cs="David"/>
                <w:sz w:val="26"/>
                <w:szCs w:val="26"/>
                <w:rtl/>
              </w:rPr>
            </w:pPr>
            <w:r>
              <w:rPr>
                <w:rFonts w:cs="David"/>
                <w:sz w:val="26"/>
                <w:szCs w:val="26"/>
                <w:rtl/>
              </w:rPr>
              <w:t>המפרסם דבר במטרה להסית לאנטישמיות, דינו – מאסר שלוש שנים."</w:t>
            </w:r>
          </w:p>
          <w:p w:rsidR="00000000" w:rsidRDefault="004C6769">
            <w:pPr>
              <w:spacing w:line="360" w:lineRule="auto"/>
              <w:jc w:val="both"/>
              <w:rPr>
                <w:rFonts w:cs="David"/>
                <w:sz w:val="26"/>
                <w:szCs w:val="26"/>
                <w:rtl/>
              </w:rPr>
            </w:pPr>
          </w:p>
          <w:p w:rsidR="00000000" w:rsidRDefault="004C6769">
            <w:pPr>
              <w:spacing w:line="360" w:lineRule="auto"/>
              <w:jc w:val="both"/>
              <w:rPr>
                <w:rFonts w:cs="David"/>
                <w:sz w:val="26"/>
                <w:szCs w:val="26"/>
                <w:rtl/>
              </w:rPr>
            </w:pPr>
          </w:p>
        </w:tc>
      </w:tr>
      <w:tr w:rsidR="00000000">
        <w:trPr>
          <w:trHeight w:val="490"/>
        </w:trPr>
        <w:tc>
          <w:tcPr>
            <w:tcW w:w="1131" w:type="dxa"/>
            <w:tcBorders>
              <w:top w:val="nil"/>
              <w:left w:val="nil"/>
              <w:bottom w:val="nil"/>
              <w:right w:val="nil"/>
            </w:tcBorders>
          </w:tcPr>
          <w:p w:rsidR="00000000" w:rsidRDefault="004C6769">
            <w:pPr>
              <w:rPr>
                <w:rFonts w:cs="David"/>
                <w:sz w:val="26"/>
                <w:szCs w:val="26"/>
                <w:rtl/>
              </w:rPr>
            </w:pPr>
            <w:r>
              <w:rPr>
                <w:rFonts w:cs="David"/>
                <w:sz w:val="26"/>
                <w:szCs w:val="26"/>
                <w:rtl/>
              </w:rPr>
              <w:t>תיק</w:t>
            </w:r>
            <w:r>
              <w:rPr>
                <w:rFonts w:cs="David"/>
                <w:sz w:val="26"/>
                <w:szCs w:val="26"/>
                <w:rtl/>
              </w:rPr>
              <w:t>ון חוק האזרחות</w:t>
            </w:r>
          </w:p>
        </w:tc>
        <w:tc>
          <w:tcPr>
            <w:tcW w:w="476" w:type="dxa"/>
            <w:tcBorders>
              <w:top w:val="nil"/>
              <w:left w:val="nil"/>
              <w:bottom w:val="nil"/>
              <w:right w:val="nil"/>
            </w:tcBorders>
          </w:tcPr>
          <w:p w:rsidR="00000000" w:rsidRDefault="004C6769">
            <w:pPr>
              <w:spacing w:line="360" w:lineRule="auto"/>
              <w:jc w:val="both"/>
              <w:rPr>
                <w:rFonts w:cs="David"/>
                <w:sz w:val="26"/>
                <w:szCs w:val="26"/>
                <w:rtl/>
              </w:rPr>
            </w:pPr>
            <w:r>
              <w:rPr>
                <w:rFonts w:cs="David"/>
                <w:sz w:val="26"/>
                <w:szCs w:val="26"/>
                <w:rtl/>
              </w:rPr>
              <w:t>2.</w:t>
            </w:r>
          </w:p>
        </w:tc>
        <w:tc>
          <w:tcPr>
            <w:tcW w:w="6915" w:type="dxa"/>
            <w:gridSpan w:val="5"/>
            <w:tcBorders>
              <w:top w:val="nil"/>
              <w:left w:val="nil"/>
              <w:bottom w:val="nil"/>
              <w:right w:val="nil"/>
            </w:tcBorders>
          </w:tcPr>
          <w:p w:rsidR="00000000" w:rsidRDefault="004C6769">
            <w:pPr>
              <w:spacing w:line="360" w:lineRule="auto"/>
              <w:jc w:val="both"/>
              <w:rPr>
                <w:rFonts w:cs="David"/>
                <w:sz w:val="26"/>
                <w:szCs w:val="26"/>
                <w:rtl/>
              </w:rPr>
            </w:pPr>
            <w:r>
              <w:rPr>
                <w:rFonts w:cs="David"/>
                <w:sz w:val="26"/>
                <w:szCs w:val="26"/>
                <w:rtl/>
              </w:rPr>
              <w:t>בחוק האזרחות, תשי"ב-1952</w:t>
            </w:r>
            <w:r>
              <w:rPr>
                <w:rStyle w:val="aa"/>
                <w:rFonts w:cs="David"/>
                <w:sz w:val="26"/>
                <w:szCs w:val="26"/>
                <w:rtl/>
              </w:rPr>
              <w:footnoteReference w:id="2"/>
            </w:r>
            <w:r>
              <w:rPr>
                <w:rFonts w:cs="David"/>
                <w:sz w:val="26"/>
                <w:szCs w:val="26"/>
                <w:rtl/>
              </w:rPr>
              <w:t>, בסעיף 11, לאחר פסקה (ב), יבוא:</w:t>
            </w:r>
          </w:p>
        </w:tc>
      </w:tr>
      <w:tr w:rsidR="00000000">
        <w:trPr>
          <w:trHeight w:val="490"/>
        </w:trPr>
        <w:tc>
          <w:tcPr>
            <w:tcW w:w="1131" w:type="dxa"/>
            <w:tcBorders>
              <w:top w:val="nil"/>
              <w:left w:val="nil"/>
              <w:bottom w:val="nil"/>
              <w:right w:val="nil"/>
            </w:tcBorders>
          </w:tcPr>
          <w:p w:rsidR="00000000" w:rsidRDefault="004C6769">
            <w:pPr>
              <w:rPr>
                <w:rFonts w:cs="David"/>
                <w:sz w:val="26"/>
                <w:szCs w:val="26"/>
                <w:rtl/>
              </w:rPr>
            </w:pPr>
          </w:p>
        </w:tc>
        <w:tc>
          <w:tcPr>
            <w:tcW w:w="476" w:type="dxa"/>
            <w:tcBorders>
              <w:top w:val="nil"/>
              <w:left w:val="nil"/>
              <w:bottom w:val="nil"/>
              <w:right w:val="nil"/>
            </w:tcBorders>
          </w:tcPr>
          <w:p w:rsidR="00000000" w:rsidRDefault="004C6769">
            <w:pPr>
              <w:spacing w:line="360" w:lineRule="auto"/>
              <w:jc w:val="both"/>
              <w:rPr>
                <w:rFonts w:cs="David"/>
                <w:sz w:val="26"/>
                <w:szCs w:val="26"/>
                <w:rtl/>
              </w:rPr>
            </w:pPr>
          </w:p>
        </w:tc>
        <w:tc>
          <w:tcPr>
            <w:tcW w:w="1411" w:type="dxa"/>
            <w:tcBorders>
              <w:top w:val="nil"/>
              <w:left w:val="nil"/>
              <w:bottom w:val="nil"/>
              <w:right w:val="nil"/>
            </w:tcBorders>
          </w:tcPr>
          <w:p w:rsidR="00000000" w:rsidRDefault="004C6769">
            <w:pPr>
              <w:spacing w:line="360" w:lineRule="auto"/>
              <w:jc w:val="both"/>
              <w:rPr>
                <w:rFonts w:cs="David"/>
                <w:sz w:val="26"/>
                <w:szCs w:val="26"/>
                <w:rtl/>
              </w:rPr>
            </w:pPr>
          </w:p>
        </w:tc>
        <w:tc>
          <w:tcPr>
            <w:tcW w:w="583" w:type="dxa"/>
            <w:tcBorders>
              <w:top w:val="nil"/>
              <w:left w:val="nil"/>
              <w:bottom w:val="nil"/>
              <w:right w:val="nil"/>
            </w:tcBorders>
          </w:tcPr>
          <w:p w:rsidR="00000000" w:rsidRDefault="004C6769">
            <w:pPr>
              <w:spacing w:line="360" w:lineRule="auto"/>
              <w:jc w:val="both"/>
              <w:rPr>
                <w:rFonts w:cs="David"/>
                <w:sz w:val="26"/>
                <w:szCs w:val="26"/>
                <w:rtl/>
              </w:rPr>
            </w:pPr>
            <w:r>
              <w:rPr>
                <w:rFonts w:cs="David"/>
                <w:sz w:val="26"/>
                <w:szCs w:val="26"/>
                <w:rtl/>
              </w:rPr>
              <w:t>"(ב1)</w:t>
            </w:r>
          </w:p>
        </w:tc>
        <w:tc>
          <w:tcPr>
            <w:tcW w:w="4921" w:type="dxa"/>
            <w:gridSpan w:val="3"/>
            <w:tcBorders>
              <w:top w:val="nil"/>
              <w:left w:val="nil"/>
              <w:bottom w:val="nil"/>
              <w:right w:val="nil"/>
            </w:tcBorders>
          </w:tcPr>
          <w:p w:rsidR="00000000" w:rsidRDefault="004C6769">
            <w:pPr>
              <w:spacing w:line="360" w:lineRule="auto"/>
              <w:jc w:val="both"/>
              <w:rPr>
                <w:rFonts w:cs="David"/>
                <w:sz w:val="26"/>
                <w:szCs w:val="26"/>
                <w:rtl/>
              </w:rPr>
            </w:pPr>
            <w:r>
              <w:rPr>
                <w:rFonts w:cs="David"/>
                <w:sz w:val="26"/>
                <w:szCs w:val="26"/>
                <w:rtl/>
              </w:rPr>
              <w:t>שר הפנים רשאי לבטל את אזרחותו הישראלית של אדם אשר הורשע בעבירה לפי סעיף 1441ז לחוק העונשין, התשל"ז-1977,</w:t>
            </w:r>
            <w:r>
              <w:rPr>
                <w:rStyle w:val="aa"/>
                <w:rFonts w:cs="David"/>
                <w:sz w:val="26"/>
                <w:szCs w:val="26"/>
                <w:rtl/>
              </w:rPr>
              <w:footnoteReference w:id="3"/>
            </w:r>
            <w:r>
              <w:rPr>
                <w:rFonts w:cs="David"/>
                <w:sz w:val="26"/>
                <w:szCs w:val="26"/>
                <w:rtl/>
              </w:rPr>
              <w:t xml:space="preserve"> ובתנאי שלא נרכשה ה</w:t>
            </w:r>
            <w:r>
              <w:rPr>
                <w:rFonts w:cs="David"/>
                <w:sz w:val="26"/>
                <w:szCs w:val="26"/>
                <w:rtl/>
              </w:rPr>
              <w:t>אזרחות מכוח סעיפים 3, 3א, 4 ו-4ב לחוק."</w:t>
            </w:r>
          </w:p>
        </w:tc>
      </w:tr>
    </w:tbl>
    <w:p w:rsidR="00000000" w:rsidRDefault="004C6769">
      <w:pPr>
        <w:spacing w:line="360" w:lineRule="auto"/>
        <w:rPr>
          <w:rFonts w:cs="David"/>
          <w:rtl/>
        </w:rPr>
      </w:pPr>
    </w:p>
    <w:p w:rsidR="00000000" w:rsidRDefault="004C6769">
      <w:pPr>
        <w:rPr>
          <w:rFonts w:cs="David"/>
          <w:sz w:val="26"/>
          <w:szCs w:val="26"/>
          <w:rtl/>
        </w:rPr>
      </w:pPr>
    </w:p>
    <w:p w:rsidR="00000000" w:rsidRDefault="004C6769">
      <w:pPr>
        <w:jc w:val="both"/>
        <w:rPr>
          <w:rFonts w:cs="David"/>
          <w:sz w:val="26"/>
          <w:szCs w:val="26"/>
          <w:rtl/>
        </w:rPr>
      </w:pPr>
    </w:p>
    <w:p w:rsidR="00000000" w:rsidRDefault="004C6769">
      <w:pPr>
        <w:jc w:val="center"/>
        <w:rPr>
          <w:rFonts w:cs="David"/>
          <w:sz w:val="26"/>
          <w:szCs w:val="26"/>
          <w:rtl/>
        </w:rPr>
      </w:pPr>
      <w:r>
        <w:rPr>
          <w:rFonts w:cs="David"/>
          <w:b/>
          <w:bCs/>
          <w:sz w:val="28"/>
          <w:szCs w:val="28"/>
          <w:u w:val="single"/>
          <w:rtl/>
        </w:rPr>
        <w:t>דברי – הסבר</w:t>
      </w:r>
    </w:p>
    <w:p w:rsidR="00000000" w:rsidRDefault="004C6769">
      <w:pPr>
        <w:jc w:val="center"/>
        <w:rPr>
          <w:rFonts w:cs="David"/>
          <w:sz w:val="26"/>
          <w:szCs w:val="26"/>
          <w:rtl/>
        </w:rPr>
      </w:pPr>
    </w:p>
    <w:p w:rsidR="00000000" w:rsidRDefault="004C6769">
      <w:pPr>
        <w:jc w:val="both"/>
        <w:rPr>
          <w:rFonts w:cs="David"/>
          <w:sz w:val="26"/>
          <w:szCs w:val="26"/>
          <w:rtl/>
        </w:rPr>
      </w:pPr>
    </w:p>
    <w:p w:rsidR="00000000" w:rsidRDefault="004C6769">
      <w:pPr>
        <w:spacing w:line="360" w:lineRule="auto"/>
        <w:jc w:val="both"/>
        <w:rPr>
          <w:rFonts w:cs="David"/>
          <w:sz w:val="26"/>
          <w:szCs w:val="26"/>
          <w:rtl/>
        </w:rPr>
      </w:pPr>
      <w:r>
        <w:rPr>
          <w:rFonts w:cs="David"/>
          <w:sz w:val="26"/>
          <w:szCs w:val="26"/>
          <w:rtl/>
        </w:rPr>
        <w:t xml:space="preserve">בעקבות גלי העלייה הגדולים והתרחבות תופעת ההגירה למדינת ישראל של לא יהודים, מתרבים המקרים בהם מהגרים, כולל כאלו שזכו באזרחות ישראלית, מביעים הזדהות עם תעמולה אנטישמית, אנטי-יהודית. במקרים רבים מדובר </w:t>
      </w:r>
      <w:r>
        <w:rPr>
          <w:rFonts w:cs="David"/>
          <w:sz w:val="26"/>
          <w:szCs w:val="26"/>
          <w:rtl/>
        </w:rPr>
        <w:t xml:space="preserve">בהזדהות עם אישים, תנועות וסמלים אנטישמיים מהעבר ומההווה. כך קורה, שאחדים מבין המהגרים מביעים </w:t>
      </w:r>
      <w:r>
        <w:rPr>
          <w:rFonts w:cs="David"/>
          <w:sz w:val="26"/>
          <w:szCs w:val="26"/>
          <w:rtl/>
        </w:rPr>
        <w:lastRenderedPageBreak/>
        <w:t xml:space="preserve">הזדהות עם צוררי העם היהודי לדורותיהם, כאשר בראשם גדול הצוררים, מנהיג גרמניה הנאצית בתקופת מלחה"ע ה-2, אדולף היטלר. </w:t>
      </w:r>
    </w:p>
    <w:p w:rsidR="00000000" w:rsidRDefault="004C6769">
      <w:pPr>
        <w:spacing w:line="360" w:lineRule="auto"/>
        <w:jc w:val="both"/>
        <w:rPr>
          <w:rFonts w:cs="David"/>
          <w:sz w:val="26"/>
          <w:szCs w:val="26"/>
          <w:rtl/>
        </w:rPr>
      </w:pPr>
    </w:p>
    <w:p w:rsidR="00000000" w:rsidRDefault="004C6769">
      <w:pPr>
        <w:spacing w:line="360" w:lineRule="auto"/>
        <w:jc w:val="both"/>
        <w:rPr>
          <w:rFonts w:cs="David"/>
          <w:sz w:val="26"/>
          <w:szCs w:val="26"/>
          <w:rtl/>
        </w:rPr>
      </w:pPr>
      <w:r>
        <w:rPr>
          <w:rFonts w:cs="David"/>
          <w:sz w:val="26"/>
          <w:szCs w:val="26"/>
          <w:rtl/>
        </w:rPr>
        <w:t>במקרים מסוימים, מהגרים, ביניהם עולים שזכו באזר</w:t>
      </w:r>
      <w:r>
        <w:rPr>
          <w:rFonts w:cs="David"/>
          <w:sz w:val="26"/>
          <w:szCs w:val="26"/>
          <w:rtl/>
        </w:rPr>
        <w:t>חות מתוקף "חוק השבות", אף קעקעו על גופם סמלים מסמלי גרמניה הנאצית ומסמלי תנועות ניאו-נאציות בהווה.</w:t>
      </w:r>
    </w:p>
    <w:p w:rsidR="00000000" w:rsidRDefault="004C6769">
      <w:pPr>
        <w:spacing w:line="360" w:lineRule="auto"/>
        <w:jc w:val="both"/>
        <w:rPr>
          <w:rFonts w:cs="David"/>
          <w:sz w:val="26"/>
          <w:szCs w:val="26"/>
          <w:rtl/>
        </w:rPr>
      </w:pPr>
    </w:p>
    <w:p w:rsidR="00000000" w:rsidRDefault="004C6769">
      <w:pPr>
        <w:spacing w:line="360" w:lineRule="auto"/>
        <w:jc w:val="both"/>
        <w:rPr>
          <w:rFonts w:cs="David"/>
          <w:sz w:val="26"/>
          <w:szCs w:val="26"/>
          <w:rtl/>
        </w:rPr>
      </w:pPr>
      <w:r>
        <w:rPr>
          <w:rFonts w:cs="David"/>
          <w:sz w:val="26"/>
          <w:szCs w:val="26"/>
          <w:rtl/>
        </w:rPr>
        <w:t>הצעת החוק מבקשת לפעול כנגד תופעות אנטישמיות אלו בשני אמצעים. האמצעי האחד הוא הוספת הוראה בחוק העונשין האוסרת על הסתה לאנטישמיות. הוראה עונשית זו נועדה להתמו</w:t>
      </w:r>
      <w:r>
        <w:rPr>
          <w:rFonts w:cs="David"/>
          <w:sz w:val="26"/>
          <w:szCs w:val="26"/>
          <w:rtl/>
        </w:rPr>
        <w:t xml:space="preserve">דד עם התופעה של הסתה לאנטישמיות עצמה, אשר אינה מכוסה כיום על ידי חוק העונשין.  אמנם, קיים בחוק איסור על הסתה לגזענות, אך איסור זה צר יותר ואינו מתייחס לחשיבות המיוחדת של האנטישמיות במדינתנו. </w:t>
      </w:r>
    </w:p>
    <w:p w:rsidR="00000000" w:rsidRDefault="004C6769">
      <w:pPr>
        <w:spacing w:line="360" w:lineRule="auto"/>
        <w:jc w:val="both"/>
        <w:rPr>
          <w:rFonts w:cs="David"/>
          <w:sz w:val="26"/>
          <w:szCs w:val="26"/>
          <w:rtl/>
        </w:rPr>
      </w:pPr>
      <w:r>
        <w:rPr>
          <w:rFonts w:cs="David"/>
          <w:sz w:val="26"/>
          <w:szCs w:val="26"/>
          <w:rtl/>
        </w:rPr>
        <w:t>האמצעי האחר הינו תיקון לחוק האזרחות, אשר יאפשר לשר הפנים לשלול א</w:t>
      </w:r>
      <w:r>
        <w:rPr>
          <w:rFonts w:cs="David"/>
          <w:sz w:val="26"/>
          <w:szCs w:val="26"/>
          <w:rtl/>
        </w:rPr>
        <w:t>זרחותו של מי שהורשע בעבירה של הסתה לאנטישמיות. שר הפנים לא יוכל לשלול אזרחות ממי שאזרחותו באה לו מכוח לידה בישראל, ישיבה ארוכה בישראל ומכוח אימוץ, זאת מתוך התפיסה שסמכות זו נועדה להתמודד עם אוכלוסיות חדשות המגיעות לישראל, אם מכוח חוק השבות או מכוח התאזרחות</w:t>
      </w:r>
      <w:r>
        <w:rPr>
          <w:rFonts w:cs="David"/>
          <w:sz w:val="26"/>
          <w:szCs w:val="26"/>
          <w:rtl/>
        </w:rPr>
        <w:t xml:space="preserve"> וכדומה. ההנחה בבסיס הצעת החוק היא שאין זה ראוי שאדם המסית לתפיסות המערערות היסודות עליהם מושתתת מדינת ישראל כבית הלאומי של העם היהודי, ייהנה מהזכות להחזיק באזרחות ישראלית.</w:t>
      </w:r>
    </w:p>
    <w:p w:rsidR="00000000" w:rsidRDefault="004C6769">
      <w:pPr>
        <w:spacing w:line="360" w:lineRule="auto"/>
        <w:jc w:val="both"/>
        <w:rPr>
          <w:rFonts w:cs="David"/>
          <w:sz w:val="26"/>
          <w:szCs w:val="26"/>
          <w:rtl/>
        </w:rPr>
      </w:pPr>
    </w:p>
    <w:p w:rsidR="00000000" w:rsidRDefault="004C6769">
      <w:pPr>
        <w:spacing w:line="360" w:lineRule="auto"/>
        <w:jc w:val="both"/>
        <w:rPr>
          <w:rFonts w:cs="David"/>
          <w:sz w:val="26"/>
          <w:szCs w:val="26"/>
          <w:rtl/>
        </w:rPr>
      </w:pPr>
    </w:p>
    <w:p w:rsidR="00000000" w:rsidRDefault="004C6769">
      <w:pPr>
        <w:spacing w:line="360" w:lineRule="auto"/>
        <w:jc w:val="both"/>
        <w:rPr>
          <w:rFonts w:cs="David"/>
          <w:sz w:val="26"/>
          <w:szCs w:val="26"/>
          <w:rtl/>
        </w:rPr>
      </w:pPr>
      <w:r>
        <w:rPr>
          <w:rFonts w:cs="David"/>
          <w:sz w:val="26"/>
          <w:szCs w:val="26"/>
          <w:rtl/>
        </w:rPr>
        <w:t>---------------------------------</w:t>
      </w:r>
    </w:p>
    <w:p w:rsidR="00000000" w:rsidRDefault="004C6769">
      <w:pPr>
        <w:spacing w:line="360" w:lineRule="auto"/>
        <w:jc w:val="both"/>
        <w:rPr>
          <w:rFonts w:cs="David"/>
          <w:sz w:val="26"/>
          <w:szCs w:val="26"/>
          <w:rtl/>
        </w:rPr>
      </w:pPr>
      <w:r>
        <w:rPr>
          <w:rFonts w:cs="David"/>
          <w:sz w:val="26"/>
          <w:szCs w:val="26"/>
          <w:rtl/>
        </w:rPr>
        <w:t>הוגשה ליו"ר הכנסת והסגנים</w:t>
      </w:r>
    </w:p>
    <w:p w:rsidR="00000000" w:rsidRDefault="004C6769">
      <w:pPr>
        <w:spacing w:line="360" w:lineRule="auto"/>
        <w:jc w:val="both"/>
        <w:rPr>
          <w:rFonts w:cs="David"/>
          <w:sz w:val="26"/>
          <w:szCs w:val="26"/>
          <w:rtl/>
        </w:rPr>
      </w:pPr>
      <w:r>
        <w:rPr>
          <w:rFonts w:cs="David"/>
          <w:sz w:val="26"/>
          <w:szCs w:val="26"/>
          <w:rtl/>
        </w:rPr>
        <w:t xml:space="preserve">והונחה על שלחן הכנסת </w:t>
      </w:r>
      <w:r>
        <w:rPr>
          <w:rFonts w:cs="David"/>
          <w:sz w:val="26"/>
          <w:szCs w:val="26"/>
          <w:rtl/>
        </w:rPr>
        <w:t>ביום</w:t>
      </w:r>
    </w:p>
    <w:p w:rsidR="00000000" w:rsidRDefault="004C6769">
      <w:pPr>
        <w:spacing w:line="360" w:lineRule="auto"/>
        <w:jc w:val="both"/>
        <w:rPr>
          <w:rFonts w:cs="David"/>
          <w:sz w:val="26"/>
          <w:szCs w:val="26"/>
          <w:rtl/>
        </w:rPr>
      </w:pPr>
      <w:r>
        <w:rPr>
          <w:rFonts w:cs="David"/>
          <w:sz w:val="26"/>
          <w:szCs w:val="26"/>
          <w:rtl/>
        </w:rPr>
        <w:t>ל' בסיון התשס"ו – 26.6.06</w:t>
      </w:r>
    </w:p>
    <w:p w:rsidR="00000000" w:rsidRDefault="004C6769">
      <w:pPr>
        <w:pStyle w:val="a3"/>
        <w:spacing w:line="360" w:lineRule="auto"/>
        <w:jc w:val="left"/>
        <w:rPr>
          <w:rFonts w:cs="David"/>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C6769">
      <w:r>
        <w:separator/>
      </w:r>
    </w:p>
  </w:endnote>
  <w:endnote w:type="continuationSeparator" w:id="0">
    <w:p w:rsidR="00000000" w:rsidRDefault="004C6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C6769">
      <w:r>
        <w:separator/>
      </w:r>
    </w:p>
  </w:footnote>
  <w:footnote w:type="continuationSeparator" w:id="0">
    <w:p w:rsidR="00000000" w:rsidRDefault="004C6769">
      <w:r>
        <w:continuationSeparator/>
      </w:r>
    </w:p>
  </w:footnote>
  <w:footnote w:id="1">
    <w:p w:rsidR="00000000" w:rsidRDefault="004C6769">
      <w:pPr>
        <w:pStyle w:val="a8"/>
      </w:pPr>
      <w:r>
        <w:rPr>
          <w:rStyle w:val="aa"/>
        </w:rPr>
        <w:footnoteRef/>
      </w:r>
      <w:r>
        <w:rPr>
          <w:rtl/>
        </w:rPr>
        <w:t xml:space="preserve"> ס"ח התשל"ז, עמ' 226.</w:t>
      </w:r>
    </w:p>
  </w:footnote>
  <w:footnote w:id="2">
    <w:p w:rsidR="00000000" w:rsidRDefault="004C6769">
      <w:pPr>
        <w:pStyle w:val="a8"/>
      </w:pPr>
      <w:r>
        <w:rPr>
          <w:rStyle w:val="aa"/>
        </w:rPr>
        <w:footnoteRef/>
      </w:r>
      <w:r>
        <w:rPr>
          <w:rtl/>
        </w:rPr>
        <w:t xml:space="preserve"> ס"ח התשי"ב, עמ' 146.</w:t>
      </w:r>
    </w:p>
  </w:footnote>
  <w:footnote w:id="3">
    <w:p w:rsidR="00000000" w:rsidRDefault="004C6769">
      <w:pPr>
        <w:pStyle w:val="a8"/>
      </w:pPr>
      <w:r>
        <w:rPr>
          <w:rStyle w:val="aa"/>
        </w:rPr>
        <w:footnoteRef/>
      </w:r>
      <w:r>
        <w:rPr>
          <w:rtl/>
        </w:rPr>
        <w:t xml:space="preserve"> ס"ח התשל"ז, עמ' 226.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6769">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4C676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7210æáåìåï àåøìá - àéñåø àðèéùîéåú.doc"/>
    <w:docVar w:name="StartMode" w:val="2"/>
  </w:docVars>
  <w:rsids>
    <w:rsidRoot w:val="004C6769"/>
    <w:rsid w:val="004C6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361</Words>
  <Characters>1805</Characters>
  <Application>Microsoft Office Word</Application>
  <DocSecurity>0</DocSecurity>
  <Lines>15</Lines>
  <Paragraphs>4</Paragraphs>
  <ScaleCrop>false</ScaleCrop>
  <Company>knesset</Company>
  <LinksUpToDate>false</LinksUpToDate>
  <CharactersWithSpaces>2162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מאבק באנטישמיות (תיקוני חקיקה), התשס"ו-2006</dc:title>
  <dc:subject/>
  <dc:creator>Knesset</dc:creator>
  <cp:keywords/>
  <dc:description/>
  <cp:lastModifiedBy>שמואל כוכב</cp:lastModifiedBy>
  <cp:revision>2</cp:revision>
  <cp:lastPrinted>2006-06-21T10:14:00Z</cp:lastPrinted>
  <dcterms:created xsi:type="dcterms:W3CDTF">2015-02-03T19:24:00Z</dcterms:created>
  <dcterms:modified xsi:type="dcterms:W3CDTF">2015-02-03T19:24:00Z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זבולון אורלב</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03429406</vt:lpwstr>
  </property>
  <property fmtid="{D5CDD505-2E9C-101B-9397-08002B2CF9AE}" pid="10" name="מספר הצעת חוק למיון">
    <vt:lpwstr>694</vt:lpwstr>
  </property>
  <property fmtid="{D5CDD505-2E9C-101B-9397-08002B2CF9AE}" pid="11" name="SDDocDate">
    <vt:lpwstr>2006-06-21T00:00:00Z</vt:lpwstr>
  </property>
  <property fmtid="{D5CDD505-2E9C-101B-9397-08002B2CF9AE}" pid="12" name="SDHebDate">
    <vt:lpwstr>כ"ה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פ/694/17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