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A0D8A">
      <w:pPr>
        <w:pStyle w:val="a3"/>
        <w:rPr>
          <w:rFonts w:cs="David"/>
          <w:b w:val="0"/>
          <w:bCs w:val="0"/>
          <w:sz w:val="26"/>
          <w:szCs w:val="26"/>
          <w:u w:val="none"/>
          <w:rtl/>
        </w:rPr>
      </w:pPr>
      <w:bookmarkStart w:id="0" w:name="_GoBack"/>
      <w:bookmarkEnd w:id="0"/>
      <w:r>
        <w:rPr>
          <w:rFonts w:cs="David"/>
          <w:u w:val="none"/>
          <w:rtl/>
        </w:rPr>
        <w:t>הכנסת השבע-עשרה</w:t>
      </w:r>
    </w:p>
    <w:p w:rsidR="00000000" w:rsidRDefault="00CA0D8A">
      <w:pPr>
        <w:rPr>
          <w:rFonts w:cs="David"/>
          <w:sz w:val="26"/>
          <w:szCs w:val="26"/>
          <w:rtl/>
        </w:rPr>
      </w:pPr>
    </w:p>
    <w:p w:rsidR="00000000" w:rsidRDefault="00CA0D8A">
      <w:pPr>
        <w:rPr>
          <w:rFonts w:cs="David"/>
          <w:sz w:val="26"/>
          <w:szCs w:val="26"/>
          <w:rtl/>
        </w:rPr>
      </w:pPr>
    </w:p>
    <w:tbl>
      <w:tblPr>
        <w:bidiVisual/>
        <w:tblW w:w="0" w:type="auto"/>
        <w:tblInd w:w="4485" w:type="dxa"/>
        <w:tblBorders>
          <w:bottom w:val="single" w:sz="4" w:space="0" w:color="auto"/>
        </w:tblBorders>
        <w:tblLook w:val="0000" w:firstRow="0" w:lastRow="0" w:firstColumn="0" w:lastColumn="0" w:noHBand="0" w:noVBand="0"/>
      </w:tblPr>
      <w:tblGrid>
        <w:gridCol w:w="4037"/>
      </w:tblGrid>
      <w:tr w:rsidR="00000000">
        <w:tblPrEx>
          <w:tblCellMar>
            <w:top w:w="0" w:type="dxa"/>
            <w:bottom w:w="0" w:type="dxa"/>
          </w:tblCellMar>
        </w:tblPrEx>
        <w:tc>
          <w:tcPr>
            <w:tcW w:w="4037" w:type="dxa"/>
            <w:tcBorders>
              <w:top w:val="nil"/>
              <w:left w:val="nil"/>
              <w:bottom w:val="single" w:sz="4" w:space="0" w:color="auto"/>
              <w:right w:val="nil"/>
            </w:tcBorders>
          </w:tcPr>
          <w:p w:rsidR="00000000" w:rsidRDefault="00CA0D8A">
            <w:pPr>
              <w:spacing w:after="120"/>
              <w:rPr>
                <w:rFonts w:cs="David"/>
                <w:sz w:val="26"/>
                <w:szCs w:val="26"/>
              </w:rPr>
            </w:pPr>
            <w:r>
              <w:rPr>
                <w:rFonts w:cs="David"/>
                <w:sz w:val="26"/>
                <w:szCs w:val="26"/>
                <w:rtl/>
              </w:rPr>
              <w:t>הצעת</w:t>
            </w:r>
            <w:r>
              <w:rPr>
                <w:rFonts w:cs="David"/>
                <w:sz w:val="26"/>
                <w:szCs w:val="26"/>
              </w:rPr>
              <w:t xml:space="preserve"> </w:t>
            </w:r>
            <w:r>
              <w:rPr>
                <w:rFonts w:cs="David"/>
                <w:sz w:val="26"/>
                <w:szCs w:val="26"/>
                <w:rtl/>
              </w:rPr>
              <w:t xml:space="preserve">חוק של חבר הכנסת </w:t>
            </w:r>
            <w:r>
              <w:rPr>
                <w:rFonts w:cs="David"/>
                <w:b/>
                <w:bCs/>
                <w:sz w:val="26"/>
                <w:szCs w:val="26"/>
                <w:rtl/>
              </w:rPr>
              <w:t>זבולון אורלב</w:t>
            </w:r>
          </w:p>
        </w:tc>
      </w:tr>
    </w:tbl>
    <w:p w:rsidR="00000000" w:rsidRDefault="00CA0D8A">
      <w:pPr>
        <w:jc w:val="center"/>
        <w:rPr>
          <w:rFonts w:cs="David"/>
          <w:b/>
          <w:bCs/>
          <w:sz w:val="28"/>
          <w:szCs w:val="28"/>
          <w:rtl/>
        </w:rPr>
      </w:pP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t xml:space="preserve">           </w:t>
      </w:r>
      <w:r>
        <w:rPr>
          <w:rFonts w:cs="David"/>
          <w:b/>
          <w:bCs/>
          <w:sz w:val="28"/>
          <w:szCs w:val="28"/>
          <w:rtl/>
        </w:rPr>
        <w:t>פ/1177/17</w:t>
      </w:r>
    </w:p>
    <w:p w:rsidR="00000000" w:rsidRDefault="00CA0D8A">
      <w:pPr>
        <w:rPr>
          <w:rFonts w:cs="David"/>
          <w:sz w:val="26"/>
          <w:szCs w:val="26"/>
          <w:rtl/>
        </w:rPr>
      </w:pPr>
    </w:p>
    <w:p w:rsidR="00000000" w:rsidRDefault="00CA0D8A">
      <w:pPr>
        <w:rPr>
          <w:rFonts w:cs="David"/>
          <w:sz w:val="26"/>
          <w:szCs w:val="26"/>
          <w:rtl/>
        </w:rPr>
      </w:pPr>
    </w:p>
    <w:p w:rsidR="00000000" w:rsidRDefault="00CA0D8A">
      <w:pPr>
        <w:jc w:val="center"/>
        <w:rPr>
          <w:rFonts w:cs="David"/>
          <w:b/>
          <w:bCs/>
          <w:sz w:val="28"/>
          <w:szCs w:val="28"/>
          <w:rtl/>
        </w:rPr>
      </w:pPr>
      <w:r>
        <w:rPr>
          <w:rFonts w:cs="David"/>
          <w:b/>
          <w:bCs/>
          <w:sz w:val="28"/>
          <w:szCs w:val="28"/>
          <w:rtl/>
        </w:rPr>
        <w:t xml:space="preserve">הצעת חוק הביטוח הלאומי (תיקון - דמי ביטוח לעובד שמלאו לו 45 שנים), </w:t>
      </w:r>
    </w:p>
    <w:p w:rsidR="00000000" w:rsidRDefault="00CA0D8A">
      <w:pPr>
        <w:jc w:val="center"/>
        <w:rPr>
          <w:rFonts w:cs="David"/>
          <w:b/>
          <w:bCs/>
          <w:sz w:val="28"/>
          <w:szCs w:val="28"/>
          <w:rtl/>
        </w:rPr>
      </w:pPr>
      <w:r>
        <w:rPr>
          <w:rFonts w:cs="David"/>
          <w:b/>
          <w:bCs/>
          <w:sz w:val="28"/>
          <w:szCs w:val="28"/>
          <w:rtl/>
        </w:rPr>
        <w:t>התשס"</w:t>
      </w:r>
      <w:r>
        <w:rPr>
          <w:rFonts w:cs="David"/>
          <w:b/>
          <w:bCs/>
          <w:sz w:val="28"/>
          <w:szCs w:val="28"/>
          <w:rtl/>
        </w:rPr>
        <w:t>ו-2006</w:t>
      </w:r>
    </w:p>
    <w:p w:rsidR="00000000" w:rsidRDefault="00CA0D8A">
      <w:pPr>
        <w:rPr>
          <w:rFonts w:cs="David"/>
          <w:sz w:val="26"/>
          <w:szCs w:val="26"/>
          <w:rtl/>
        </w:rPr>
      </w:pPr>
    </w:p>
    <w:p w:rsidR="00000000" w:rsidRDefault="00CA0D8A">
      <w:pPr>
        <w:rPr>
          <w:rFonts w:cs="David"/>
          <w:sz w:val="26"/>
          <w:szCs w:val="26"/>
          <w:rtl/>
        </w:rPr>
      </w:pPr>
    </w:p>
    <w:tbl>
      <w:tblPr>
        <w:bidiVisual/>
        <w:tblW w:w="0" w:type="auto"/>
        <w:tblCellMar>
          <w:left w:w="57" w:type="dxa"/>
          <w:right w:w="57" w:type="dxa"/>
        </w:tblCellMar>
        <w:tblLook w:val="0000" w:firstRow="0" w:lastRow="0" w:firstColumn="0" w:lastColumn="0" w:noHBand="0" w:noVBand="0"/>
      </w:tblPr>
      <w:tblGrid>
        <w:gridCol w:w="1142"/>
        <w:gridCol w:w="529"/>
        <w:gridCol w:w="992"/>
        <w:gridCol w:w="840"/>
        <w:gridCol w:w="4917"/>
      </w:tblGrid>
      <w:tr w:rsidR="00000000">
        <w:tc>
          <w:tcPr>
            <w:tcW w:w="1142" w:type="dxa"/>
            <w:tcBorders>
              <w:top w:val="nil"/>
              <w:left w:val="nil"/>
              <w:bottom w:val="nil"/>
              <w:right w:val="nil"/>
            </w:tcBorders>
          </w:tcPr>
          <w:p w:rsidR="00000000" w:rsidRDefault="00CA0D8A">
            <w:pPr>
              <w:spacing w:after="120"/>
              <w:rPr>
                <w:rFonts w:cs="David"/>
                <w:sz w:val="26"/>
                <w:szCs w:val="26"/>
              </w:rPr>
            </w:pPr>
            <w:r>
              <w:rPr>
                <w:rFonts w:cs="David"/>
                <w:sz w:val="26"/>
                <w:szCs w:val="26"/>
                <w:rtl/>
              </w:rPr>
              <w:t>הוספת סעיף 337א</w:t>
            </w:r>
          </w:p>
        </w:tc>
        <w:tc>
          <w:tcPr>
            <w:tcW w:w="529" w:type="dxa"/>
            <w:tcBorders>
              <w:top w:val="nil"/>
              <w:left w:val="nil"/>
              <w:bottom w:val="nil"/>
              <w:right w:val="nil"/>
            </w:tcBorders>
          </w:tcPr>
          <w:p w:rsidR="00000000" w:rsidRDefault="00CA0D8A">
            <w:pPr>
              <w:spacing w:after="120" w:line="360" w:lineRule="auto"/>
              <w:rPr>
                <w:rFonts w:cs="David"/>
                <w:sz w:val="26"/>
                <w:szCs w:val="26"/>
              </w:rPr>
            </w:pPr>
            <w:r>
              <w:rPr>
                <w:rFonts w:cs="David"/>
                <w:sz w:val="26"/>
                <w:szCs w:val="26"/>
                <w:rtl/>
              </w:rPr>
              <w:t xml:space="preserve">1. </w:t>
            </w:r>
          </w:p>
        </w:tc>
        <w:tc>
          <w:tcPr>
            <w:tcW w:w="6749" w:type="dxa"/>
            <w:gridSpan w:val="3"/>
            <w:tcBorders>
              <w:top w:val="nil"/>
              <w:left w:val="nil"/>
              <w:bottom w:val="nil"/>
              <w:right w:val="nil"/>
            </w:tcBorders>
          </w:tcPr>
          <w:p w:rsidR="00000000" w:rsidRDefault="00CA0D8A">
            <w:pPr>
              <w:spacing w:after="120" w:line="360" w:lineRule="auto"/>
              <w:jc w:val="both"/>
              <w:rPr>
                <w:rFonts w:cs="David"/>
                <w:sz w:val="26"/>
                <w:szCs w:val="26"/>
              </w:rPr>
            </w:pPr>
            <w:r>
              <w:rPr>
                <w:rFonts w:cs="David"/>
                <w:sz w:val="26"/>
                <w:szCs w:val="26"/>
                <w:rtl/>
              </w:rPr>
              <w:t>בחוק הביטוח הלאומי [נוסח משולב], התשנ"ה-1995</w:t>
            </w:r>
            <w:r>
              <w:rPr>
                <w:rStyle w:val="aa"/>
                <w:rFonts w:cs="David"/>
                <w:sz w:val="26"/>
                <w:szCs w:val="26"/>
                <w:rtl/>
              </w:rPr>
              <w:footnoteReference w:id="1"/>
            </w:r>
            <w:r>
              <w:rPr>
                <w:rFonts w:cs="David"/>
                <w:sz w:val="26"/>
                <w:szCs w:val="26"/>
                <w:rtl/>
              </w:rPr>
              <w:t>, אחרי סעיף 337 יבוא:</w:t>
            </w:r>
          </w:p>
        </w:tc>
      </w:tr>
      <w:tr w:rsidR="00000000">
        <w:tc>
          <w:tcPr>
            <w:tcW w:w="1142" w:type="dxa"/>
            <w:tcBorders>
              <w:top w:val="nil"/>
              <w:left w:val="nil"/>
              <w:bottom w:val="nil"/>
              <w:right w:val="nil"/>
            </w:tcBorders>
          </w:tcPr>
          <w:p w:rsidR="00000000" w:rsidRDefault="00CA0D8A">
            <w:pPr>
              <w:spacing w:after="120"/>
              <w:rPr>
                <w:rFonts w:cs="David"/>
                <w:sz w:val="26"/>
                <w:szCs w:val="26"/>
              </w:rPr>
            </w:pPr>
          </w:p>
        </w:tc>
        <w:tc>
          <w:tcPr>
            <w:tcW w:w="529" w:type="dxa"/>
            <w:tcBorders>
              <w:top w:val="nil"/>
              <w:left w:val="nil"/>
              <w:bottom w:val="nil"/>
              <w:right w:val="nil"/>
            </w:tcBorders>
          </w:tcPr>
          <w:p w:rsidR="00000000" w:rsidRDefault="00CA0D8A">
            <w:pPr>
              <w:spacing w:after="120" w:line="360" w:lineRule="auto"/>
              <w:rPr>
                <w:rFonts w:cs="David"/>
                <w:sz w:val="26"/>
                <w:szCs w:val="26"/>
              </w:rPr>
            </w:pPr>
          </w:p>
        </w:tc>
        <w:tc>
          <w:tcPr>
            <w:tcW w:w="992" w:type="dxa"/>
            <w:tcBorders>
              <w:top w:val="nil"/>
              <w:left w:val="nil"/>
              <w:bottom w:val="nil"/>
              <w:right w:val="nil"/>
            </w:tcBorders>
          </w:tcPr>
          <w:p w:rsidR="00000000" w:rsidRDefault="00CA0D8A">
            <w:pPr>
              <w:spacing w:after="120"/>
              <w:rPr>
                <w:rFonts w:cs="David"/>
                <w:sz w:val="26"/>
                <w:szCs w:val="26"/>
              </w:rPr>
            </w:pPr>
            <w:r>
              <w:rPr>
                <w:rFonts w:cs="David"/>
                <w:sz w:val="26"/>
                <w:szCs w:val="26"/>
                <w:rtl/>
              </w:rPr>
              <w:t>"דמי ביטוח מופחתים</w:t>
            </w:r>
          </w:p>
        </w:tc>
        <w:tc>
          <w:tcPr>
            <w:tcW w:w="840" w:type="dxa"/>
            <w:tcBorders>
              <w:top w:val="nil"/>
              <w:left w:val="nil"/>
              <w:bottom w:val="nil"/>
              <w:right w:val="nil"/>
            </w:tcBorders>
          </w:tcPr>
          <w:p w:rsidR="00000000" w:rsidRDefault="00CA0D8A">
            <w:pPr>
              <w:spacing w:after="120" w:line="360" w:lineRule="auto"/>
              <w:rPr>
                <w:rFonts w:cs="David"/>
                <w:sz w:val="26"/>
                <w:szCs w:val="26"/>
              </w:rPr>
            </w:pPr>
            <w:r>
              <w:rPr>
                <w:rFonts w:cs="David"/>
                <w:sz w:val="26"/>
                <w:szCs w:val="26"/>
                <w:rtl/>
              </w:rPr>
              <w:t>337א.</w:t>
            </w:r>
          </w:p>
        </w:tc>
        <w:tc>
          <w:tcPr>
            <w:tcW w:w="4917" w:type="dxa"/>
            <w:tcBorders>
              <w:top w:val="nil"/>
              <w:left w:val="nil"/>
              <w:bottom w:val="nil"/>
              <w:right w:val="nil"/>
            </w:tcBorders>
          </w:tcPr>
          <w:p w:rsidR="00000000" w:rsidRDefault="00CA0D8A">
            <w:pPr>
              <w:spacing w:after="120" w:line="360" w:lineRule="auto"/>
              <w:jc w:val="both"/>
              <w:rPr>
                <w:rFonts w:cs="David"/>
                <w:sz w:val="26"/>
                <w:szCs w:val="26"/>
              </w:rPr>
            </w:pPr>
            <w:r>
              <w:rPr>
                <w:rFonts w:cs="David"/>
                <w:sz w:val="26"/>
                <w:szCs w:val="26"/>
                <w:rtl/>
              </w:rPr>
              <w:t>שר הרווחה יקבע בצו שיעורי דמי ביטוח מופחתים אשר ישתלמו בידי מעסיק בגין עובד שמלאו לו 45 שנים, ובלבד שטרם חלפו</w:t>
            </w:r>
            <w:r>
              <w:rPr>
                <w:rFonts w:cs="David"/>
                <w:sz w:val="26"/>
                <w:szCs w:val="26"/>
                <w:rtl/>
              </w:rPr>
              <w:t xml:space="preserve"> 24 חודשים מיום תחילת עבודתו אצל המעסיק."</w:t>
            </w:r>
          </w:p>
        </w:tc>
      </w:tr>
    </w:tbl>
    <w:p w:rsidR="00000000" w:rsidRDefault="00CA0D8A">
      <w:pPr>
        <w:rPr>
          <w:rFonts w:cs="David"/>
          <w:sz w:val="26"/>
          <w:szCs w:val="26"/>
          <w:rtl/>
        </w:rPr>
      </w:pPr>
    </w:p>
    <w:p w:rsidR="00000000" w:rsidRDefault="00CA0D8A">
      <w:pPr>
        <w:jc w:val="both"/>
        <w:rPr>
          <w:rFonts w:cs="David"/>
          <w:sz w:val="26"/>
          <w:szCs w:val="26"/>
          <w:rtl/>
        </w:rPr>
      </w:pPr>
    </w:p>
    <w:p w:rsidR="00000000" w:rsidRDefault="00CA0D8A">
      <w:pPr>
        <w:jc w:val="center"/>
        <w:rPr>
          <w:rFonts w:cs="David"/>
          <w:b/>
          <w:bCs/>
          <w:sz w:val="28"/>
          <w:szCs w:val="28"/>
          <w:u w:val="single"/>
          <w:rtl/>
        </w:rPr>
      </w:pPr>
      <w:r>
        <w:rPr>
          <w:rFonts w:cs="David"/>
          <w:b/>
          <w:bCs/>
          <w:sz w:val="28"/>
          <w:szCs w:val="28"/>
          <w:u w:val="single"/>
          <w:rtl/>
        </w:rPr>
        <w:t>דברי - הסבר</w:t>
      </w:r>
    </w:p>
    <w:p w:rsidR="00000000" w:rsidRDefault="00CA0D8A">
      <w:pPr>
        <w:rPr>
          <w:rFonts w:cs="David"/>
          <w:b/>
          <w:bCs/>
          <w:sz w:val="28"/>
          <w:szCs w:val="28"/>
          <w:u w:val="single"/>
          <w:rtl/>
        </w:rPr>
      </w:pPr>
    </w:p>
    <w:p w:rsidR="00000000" w:rsidRDefault="00CA0D8A">
      <w:pPr>
        <w:pStyle w:val="ab"/>
        <w:jc w:val="both"/>
        <w:rPr>
          <w:rFonts w:cs="David"/>
          <w:rtl/>
        </w:rPr>
      </w:pPr>
      <w:r>
        <w:rPr>
          <w:rFonts w:cs="David"/>
          <w:rtl/>
        </w:rPr>
        <w:t>שיעורי דמי הביטוח המשתלמים על ידי מעביד קבועים בלוח י' בחוק הביטוח הלאומי [נוסח משולב], התשנ"ה-1995, באחוזים מהכנסתו של העובד.</w:t>
      </w:r>
    </w:p>
    <w:p w:rsidR="00000000" w:rsidRDefault="00CA0D8A">
      <w:pPr>
        <w:jc w:val="both"/>
        <w:rPr>
          <w:rFonts w:cs="David"/>
          <w:sz w:val="26"/>
          <w:szCs w:val="26"/>
          <w:rtl/>
        </w:rPr>
      </w:pPr>
      <w:r>
        <w:rPr>
          <w:rFonts w:cs="David"/>
          <w:sz w:val="26"/>
          <w:szCs w:val="26"/>
          <w:rtl/>
        </w:rPr>
        <w:t>השיעורים האמורים זהים לעובד שמלאו לו 18 שנים ולעובד שטרם מלאו לו 67 שני</w:t>
      </w:r>
      <w:r>
        <w:rPr>
          <w:rFonts w:cs="David"/>
          <w:sz w:val="26"/>
          <w:szCs w:val="26"/>
          <w:rtl/>
        </w:rPr>
        <w:t xml:space="preserve">ם (ולגבי אישה – 62 שנים).  </w:t>
      </w:r>
    </w:p>
    <w:p w:rsidR="00000000" w:rsidRDefault="00CA0D8A">
      <w:pPr>
        <w:jc w:val="both"/>
        <w:rPr>
          <w:rFonts w:cs="David"/>
          <w:sz w:val="26"/>
          <w:szCs w:val="26"/>
          <w:rtl/>
        </w:rPr>
      </w:pPr>
    </w:p>
    <w:p w:rsidR="00000000" w:rsidRDefault="00CA0D8A">
      <w:pPr>
        <w:jc w:val="both"/>
        <w:rPr>
          <w:rFonts w:cs="David"/>
          <w:sz w:val="26"/>
          <w:szCs w:val="26"/>
          <w:rtl/>
        </w:rPr>
      </w:pPr>
      <w:r>
        <w:rPr>
          <w:rFonts w:cs="David"/>
          <w:sz w:val="26"/>
          <w:szCs w:val="26"/>
          <w:rtl/>
        </w:rPr>
        <w:t>אנשים שמלאו להם 45 שנים מתקשים באופן מיוחד, להשתלב בשוק העבודה ומוגדרים בחלקם על ידי שירות התעסוקה כאוכלוסייה "בלתי ניתנת להשמה". קיימת חשיבות חברתית וציבורית לעידוד שילוב אוכלוסייה זו במעגל העבודה, לאור המציאות הקיימת.</w:t>
      </w:r>
    </w:p>
    <w:p w:rsidR="00000000" w:rsidRDefault="00CA0D8A">
      <w:pPr>
        <w:jc w:val="both"/>
        <w:rPr>
          <w:rFonts w:cs="David"/>
          <w:sz w:val="26"/>
          <w:szCs w:val="26"/>
          <w:rtl/>
        </w:rPr>
      </w:pPr>
    </w:p>
    <w:p w:rsidR="00000000" w:rsidRDefault="00CA0D8A">
      <w:pPr>
        <w:jc w:val="both"/>
        <w:rPr>
          <w:rFonts w:cs="David"/>
          <w:sz w:val="26"/>
          <w:szCs w:val="26"/>
          <w:rtl/>
        </w:rPr>
      </w:pPr>
      <w:r>
        <w:rPr>
          <w:rFonts w:cs="David"/>
          <w:sz w:val="26"/>
          <w:szCs w:val="26"/>
          <w:rtl/>
        </w:rPr>
        <w:t>מוצע ל</w:t>
      </w:r>
      <w:r>
        <w:rPr>
          <w:rFonts w:cs="David"/>
          <w:sz w:val="26"/>
          <w:szCs w:val="26"/>
          <w:rtl/>
        </w:rPr>
        <w:t>קבוע, כי ייקבעו שיעורי דמי ביטוח מופחתים למעסיקים, בגין עובדים חדשים  שמלאו להם 45 שנים, לתקופה של השנתיים הראשונות להעסקת אותו עובד אצל המעסיק.</w:t>
      </w:r>
    </w:p>
    <w:p w:rsidR="00000000" w:rsidRDefault="00CA0D8A">
      <w:pPr>
        <w:jc w:val="both"/>
        <w:rPr>
          <w:rFonts w:cs="David"/>
          <w:sz w:val="26"/>
          <w:szCs w:val="26"/>
          <w:rtl/>
        </w:rPr>
      </w:pPr>
    </w:p>
    <w:p w:rsidR="00000000" w:rsidRDefault="00CA0D8A">
      <w:pPr>
        <w:rPr>
          <w:rFonts w:cs="David"/>
          <w:sz w:val="26"/>
          <w:szCs w:val="26"/>
          <w:rtl/>
        </w:rPr>
      </w:pPr>
      <w:r>
        <w:rPr>
          <w:rFonts w:cs="David"/>
          <w:sz w:val="26"/>
          <w:szCs w:val="26"/>
          <w:rtl/>
        </w:rPr>
        <w:t xml:space="preserve">הצעת חוק זהה הונחה על שולחן הכנסת השש-עשרה על ידי חבר הכנסת  שאול יהלום (פ/1264). </w:t>
      </w:r>
    </w:p>
    <w:p w:rsidR="00000000" w:rsidRDefault="00CA0D8A">
      <w:pPr>
        <w:rPr>
          <w:rFonts w:cs="David"/>
          <w:sz w:val="26"/>
          <w:szCs w:val="26"/>
          <w:rtl/>
        </w:rPr>
      </w:pPr>
    </w:p>
    <w:p w:rsidR="00000000" w:rsidRDefault="00CA0D8A">
      <w:pPr>
        <w:rPr>
          <w:rFonts w:cs="David"/>
          <w:sz w:val="26"/>
          <w:szCs w:val="26"/>
          <w:rtl/>
        </w:rPr>
      </w:pPr>
    </w:p>
    <w:p w:rsidR="00000000" w:rsidRDefault="00CA0D8A">
      <w:pPr>
        <w:rPr>
          <w:rFonts w:cs="David"/>
          <w:sz w:val="26"/>
          <w:szCs w:val="26"/>
          <w:rtl/>
        </w:rPr>
      </w:pPr>
    </w:p>
    <w:p w:rsidR="00000000" w:rsidRDefault="00CA0D8A">
      <w:pPr>
        <w:pStyle w:val="a3"/>
        <w:jc w:val="left"/>
        <w:rPr>
          <w:rFonts w:cs="David"/>
          <w:u w:val="none"/>
          <w:rtl/>
        </w:rPr>
      </w:pPr>
    </w:p>
    <w:p w:rsidR="00000000" w:rsidRDefault="00CA0D8A">
      <w:pPr>
        <w:pStyle w:val="a3"/>
        <w:spacing w:line="360" w:lineRule="auto"/>
        <w:jc w:val="left"/>
        <w:rPr>
          <w:rFonts w:cs="David"/>
          <w:b w:val="0"/>
          <w:bCs w:val="0"/>
          <w:sz w:val="26"/>
          <w:szCs w:val="26"/>
          <w:u w:val="none"/>
          <w:rtl/>
        </w:rPr>
      </w:pPr>
      <w:r>
        <w:rPr>
          <w:rFonts w:cs="David"/>
          <w:b w:val="0"/>
          <w:bCs w:val="0"/>
          <w:sz w:val="26"/>
          <w:szCs w:val="26"/>
          <w:u w:val="none"/>
          <w:rtl/>
        </w:rPr>
        <w:t>-----------------------</w:t>
      </w:r>
      <w:r>
        <w:rPr>
          <w:rFonts w:cs="David"/>
          <w:b w:val="0"/>
          <w:bCs w:val="0"/>
          <w:sz w:val="26"/>
          <w:szCs w:val="26"/>
          <w:u w:val="none"/>
          <w:rtl/>
        </w:rPr>
        <w:t>----------</w:t>
      </w:r>
    </w:p>
    <w:p w:rsidR="00000000" w:rsidRDefault="00CA0D8A">
      <w:pPr>
        <w:pStyle w:val="a3"/>
        <w:spacing w:line="360" w:lineRule="auto"/>
        <w:jc w:val="left"/>
        <w:rPr>
          <w:rFonts w:cs="David"/>
          <w:b w:val="0"/>
          <w:bCs w:val="0"/>
          <w:sz w:val="26"/>
          <w:szCs w:val="26"/>
          <w:u w:val="none"/>
          <w:rtl/>
        </w:rPr>
      </w:pPr>
      <w:r>
        <w:rPr>
          <w:rFonts w:cs="David"/>
          <w:b w:val="0"/>
          <w:bCs w:val="0"/>
          <w:sz w:val="26"/>
          <w:szCs w:val="26"/>
          <w:u w:val="none"/>
          <w:rtl/>
        </w:rPr>
        <w:t>הוגשה ליו"ר הכנסת והסגנים</w:t>
      </w:r>
    </w:p>
    <w:p w:rsidR="00000000" w:rsidRDefault="00CA0D8A">
      <w:pPr>
        <w:pStyle w:val="a3"/>
        <w:spacing w:line="360" w:lineRule="auto"/>
        <w:jc w:val="left"/>
        <w:rPr>
          <w:rFonts w:cs="David"/>
          <w:b w:val="0"/>
          <w:bCs w:val="0"/>
          <w:sz w:val="26"/>
          <w:szCs w:val="26"/>
          <w:u w:val="none"/>
          <w:rtl/>
        </w:rPr>
      </w:pPr>
      <w:r>
        <w:rPr>
          <w:rFonts w:cs="David"/>
          <w:b w:val="0"/>
          <w:bCs w:val="0"/>
          <w:sz w:val="26"/>
          <w:szCs w:val="26"/>
          <w:u w:val="none"/>
          <w:rtl/>
        </w:rPr>
        <w:t>והונחה על שולחן הכנסת ביום</w:t>
      </w:r>
    </w:p>
    <w:p w:rsidR="00000000" w:rsidRDefault="00CA0D8A">
      <w:pPr>
        <w:pStyle w:val="a3"/>
        <w:spacing w:line="360" w:lineRule="auto"/>
        <w:jc w:val="left"/>
        <w:rPr>
          <w:rFonts w:cs="David"/>
          <w:b w:val="0"/>
          <w:bCs w:val="0"/>
          <w:sz w:val="26"/>
          <w:szCs w:val="26"/>
          <w:u w:val="none"/>
        </w:rPr>
      </w:pPr>
      <w:r>
        <w:rPr>
          <w:rFonts w:cs="David"/>
          <w:b w:val="0"/>
          <w:bCs w:val="0"/>
          <w:sz w:val="26"/>
          <w:szCs w:val="26"/>
          <w:u w:val="none"/>
          <w:rtl/>
        </w:rPr>
        <w:t>כ"א בתמוז התשס"ו – 17.7.06</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A0D8A">
      <w:r>
        <w:separator/>
      </w:r>
    </w:p>
  </w:endnote>
  <w:endnote w:type="continuationSeparator" w:id="0">
    <w:p w:rsidR="00000000" w:rsidRDefault="00CA0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A0D8A">
      <w:r>
        <w:separator/>
      </w:r>
    </w:p>
  </w:footnote>
  <w:footnote w:type="continuationSeparator" w:id="0">
    <w:p w:rsidR="00000000" w:rsidRDefault="00CA0D8A">
      <w:r>
        <w:continuationSeparator/>
      </w:r>
    </w:p>
  </w:footnote>
  <w:footnote w:id="1">
    <w:p w:rsidR="00000000" w:rsidRDefault="00CA0D8A">
      <w:pPr>
        <w:pStyle w:val="a8"/>
      </w:pPr>
      <w:r>
        <w:rPr>
          <w:rStyle w:val="aa"/>
          <w:rFonts w:cs="David"/>
        </w:rPr>
        <w:footnoteRef/>
      </w:r>
      <w:r>
        <w:rPr>
          <w:rFonts w:cs="David"/>
        </w:rPr>
        <w:t xml:space="preserve"> </w:t>
      </w:r>
      <w:r>
        <w:rPr>
          <w:rFonts w:cs="David"/>
          <w:rtl/>
        </w:rPr>
        <w:t>ס"ח התשנ"ה, עמ' 210.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A0D8A">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CA0D8A">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7907æáåìåï àåøìá - ãîé áéèåç ìòåáã ùîìàå ìå 45 ùðéí.doc"/>
    <w:docVar w:name="StartMode" w:val="2"/>
  </w:docVars>
  <w:rsids>
    <w:rsidRoot w:val="00CA0D8A"/>
    <w:rsid w:val="00CA0D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cs="Times New Roman"/>
      <w:vertAlign w:val="superscript"/>
    </w:rPr>
  </w:style>
  <w:style w:type="paragraph" w:styleId="ab">
    <w:name w:val="Body Text"/>
    <w:basedOn w:val="a"/>
    <w:link w:val="ac"/>
    <w:uiPriority w:val="99"/>
    <w:rPr>
      <w:sz w:val="26"/>
      <w:szCs w:val="26"/>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 w:type="paragraph" w:styleId="ad">
    <w:name w:val="Balloon Text"/>
    <w:basedOn w:val="a"/>
    <w:link w:val="ae"/>
    <w:uiPriority w:val="99"/>
    <w:rPr>
      <w:rFonts w:ascii="Tahoma" w:eastAsia="Times New Roman" w:hAnsi="Tahoma"/>
      <w:sz w:val="16"/>
      <w:szCs w:val="16"/>
    </w:rPr>
  </w:style>
  <w:style w:type="character" w:customStyle="1" w:styleId="ae">
    <w:name w:val="טקסט בלונים תו"/>
    <w:basedOn w:val="a0"/>
    <w:link w:val="ad"/>
    <w:uiPriority w:val="99"/>
    <w:semiHidden/>
    <w:rPr>
      <w:rFonts w:ascii="Tahoma"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207</Words>
  <Characters>1040</Characters>
  <Application>Microsoft Office Word</Application>
  <DocSecurity>0</DocSecurity>
  <Lines>8</Lines>
  <Paragraphs>2</Paragraphs>
  <ScaleCrop>false</ScaleCrop>
  <Company>knesset</Company>
  <LinksUpToDate>false</LinksUpToDate>
  <CharactersWithSpaces>1245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הביטוח הלאומי (דמי ביטוח לעובד שמלאו לו 45 שנים), התשס"ו-2006</dc:title>
  <dc:subject/>
  <dc:creator>Knesset</dc:creator>
  <cp:keywords/>
  <dc:description/>
  <cp:lastModifiedBy>שמואל כוכב</cp:lastModifiedBy>
  <cp:revision>2</cp:revision>
  <cp:lastPrinted>2006-07-13T11:43:00Z</cp:lastPrinted>
  <dcterms:created xsi:type="dcterms:W3CDTF">2015-02-03T16:41:00Z</dcterms:created>
  <dcterms:modified xsi:type="dcterms:W3CDTF">2015-02-03T16:41:00Z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זבולון אורלב</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03924706</vt:lpwstr>
  </property>
  <property fmtid="{D5CDD505-2E9C-101B-9397-08002B2CF9AE}" pid="10" name="מספר הצעת חוק למיון">
    <vt:lpwstr>1177</vt:lpwstr>
  </property>
  <property fmtid="{D5CDD505-2E9C-101B-9397-08002B2CF9AE}" pid="11" name="SDDocDate">
    <vt:lpwstr>2006-07-13T00:00:00Z</vt:lpwstr>
  </property>
  <property fmtid="{D5CDD505-2E9C-101B-9397-08002B2CF9AE}" pid="12" name="SDHebDate">
    <vt:lpwstr>י"ז בתמוז, התשס"ו</vt:lpwstr>
  </property>
  <property fmtid="{D5CDD505-2E9C-101B-9397-08002B2CF9AE}" pid="13" name="SDCategories">
    <vt:lpwstr>:דף הבית:נושאים:חקיקה:נוסח לדיון מוקדם;#:הלשכה המשפטית:הצעות חוק - כנסת 17;#</vt:lpwstr>
  </property>
  <property fmtid="{D5CDD505-2E9C-101B-9397-08002B2CF9AE}" pid="14" name="תאריך הנחה">
    <vt:lpwstr/>
  </property>
  <property fmtid="{D5CDD505-2E9C-101B-9397-08002B2CF9AE}" pid="15" name="HebrewDate">
    <vt:lpwstr/>
  </property>
  <property fmtid="{D5CDD505-2E9C-101B-9397-08002B2CF9AE}" pid="16" name="SDAuthor">
    <vt:lpwstr>כוכי שבתאי</vt:lpwstr>
  </property>
  <property fmtid="{D5CDD505-2E9C-101B-9397-08002B2CF9AE}" pid="17" name="MechaberMismach">
    <vt:lpwstr/>
  </property>
  <property fmtid="{D5CDD505-2E9C-101B-9397-08002B2CF9AE}" pid="18" name="MisHatzaatChok">
    <vt:lpwstr>פ/1177/17</vt:lpwstr>
  </property>
  <property fmtid="{D5CDD505-2E9C-101B-9397-08002B2CF9AE}" pid="19" name="SDRemark">
    <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um_Gim1">
    <vt:lpwstr/>
  </property>
  <property fmtid="{D5CDD505-2E9C-101B-9397-08002B2CF9AE}" pid="30" name="NoseA">
    <vt:lpwstr/>
  </property>
  <property fmtid="{D5CDD505-2E9C-101B-9397-08002B2CF9AE}" pid="31" name="NoseB">
    <vt:lpwstr/>
  </property>
  <property fmtid="{D5CDD505-2E9C-101B-9397-08002B2CF9AE}" pid="32" name="knesset_number">
    <vt:lpwstr/>
  </property>
  <property fmtid="{D5CDD505-2E9C-101B-9397-08002B2CF9AE}" pid="33" name="ValidFrom">
    <vt:lpwstr/>
  </property>
  <property fmtid="{D5CDD505-2E9C-101B-9397-08002B2CF9AE}" pid="34" name="ValidUntill">
    <vt:lpwstr/>
  </property>
  <property fmtid="{D5CDD505-2E9C-101B-9397-08002B2CF9AE}" pid="35" name="To1">
    <vt:lpwstr/>
  </property>
  <property fmtid="{D5CDD505-2E9C-101B-9397-08002B2CF9AE}" pid="36" name="From">
    <vt:lpwstr/>
  </property>
  <property fmtid="{D5CDD505-2E9C-101B-9397-08002B2CF9AE}" pid="37" name="body">
    <vt:lpwstr/>
  </property>
</Properties>
</file>