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94179">
      <w:pPr>
        <w:pStyle w:val="a3"/>
        <w:rPr>
          <w:rFonts w:cs="David"/>
          <w:u w:val="none"/>
          <w:rtl/>
        </w:rPr>
      </w:pPr>
      <w:bookmarkStart w:id="0" w:name="_GoBack"/>
      <w:bookmarkEnd w:id="0"/>
      <w:r>
        <w:rPr>
          <w:rFonts w:cs="David"/>
          <w:u w:val="none"/>
          <w:rtl/>
        </w:rPr>
        <w:t>הכנסת השבע-עשרה</w:t>
      </w:r>
    </w:p>
    <w:p w:rsidR="00000000" w:rsidRDefault="00494179">
      <w:pPr>
        <w:tabs>
          <w:tab w:val="left" w:pos="2734"/>
        </w:tabs>
        <w:ind w:left="-9" w:firstLine="9"/>
        <w:rPr>
          <w:rFonts w:cs="David"/>
          <w:sz w:val="26"/>
          <w:szCs w:val="26"/>
          <w:rtl/>
        </w:rPr>
      </w:pPr>
    </w:p>
    <w:p w:rsidR="00000000" w:rsidRDefault="00494179">
      <w:pPr>
        <w:tabs>
          <w:tab w:val="left" w:pos="2734"/>
        </w:tabs>
        <w:ind w:left="-9" w:firstLine="9"/>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4608"/>
      </w:tblGrid>
      <w:tr w:rsidR="00000000">
        <w:tblPrEx>
          <w:tblCellMar>
            <w:top w:w="0" w:type="dxa"/>
            <w:bottom w:w="0" w:type="dxa"/>
          </w:tblCellMar>
        </w:tblPrEx>
        <w:trPr>
          <w:cantSplit/>
        </w:trPr>
        <w:tc>
          <w:tcPr>
            <w:tcW w:w="4608" w:type="dxa"/>
            <w:tcBorders>
              <w:top w:val="nil"/>
              <w:left w:val="nil"/>
              <w:bottom w:val="single" w:sz="4" w:space="0" w:color="auto"/>
              <w:right w:val="nil"/>
            </w:tcBorders>
          </w:tcPr>
          <w:p w:rsidR="00000000" w:rsidRDefault="00494179">
            <w:pPr>
              <w:tabs>
                <w:tab w:val="left" w:pos="2770"/>
                <w:tab w:val="left" w:pos="6192"/>
              </w:tabs>
              <w:spacing w:after="120"/>
              <w:ind w:firstLine="11"/>
              <w:rPr>
                <w:rFonts w:cs="David"/>
                <w:b/>
                <w:bCs/>
                <w:sz w:val="26"/>
                <w:szCs w:val="26"/>
                <w:rtl/>
              </w:rPr>
            </w:pPr>
            <w:r>
              <w:rPr>
                <w:rFonts w:cs="David"/>
                <w:sz w:val="26"/>
                <w:szCs w:val="26"/>
                <w:rtl/>
              </w:rPr>
              <w:t>הצעת</w:t>
            </w:r>
            <w:r>
              <w:rPr>
                <w:rFonts w:cs="David"/>
                <w:sz w:val="26"/>
                <w:szCs w:val="26"/>
              </w:rPr>
              <w:t xml:space="preserve"> </w:t>
            </w:r>
            <w:r>
              <w:rPr>
                <w:rFonts w:cs="David"/>
                <w:sz w:val="26"/>
                <w:szCs w:val="26"/>
                <w:rtl/>
              </w:rPr>
              <w:t xml:space="preserve">חוק של </w:t>
            </w:r>
            <w:bookmarkStart w:id="1" w:name="MKsSingleOrMulti"/>
            <w:r>
              <w:rPr>
                <w:rFonts w:cs="David"/>
                <w:sz w:val="26"/>
                <w:szCs w:val="26"/>
                <w:rtl/>
              </w:rPr>
              <w:t>חברי הכנסת</w:t>
            </w:r>
            <w:bookmarkStart w:id="2" w:name="MKs"/>
            <w:bookmarkEnd w:id="1"/>
            <w:r>
              <w:rPr>
                <w:rFonts w:cs="David"/>
                <w:sz w:val="26"/>
                <w:szCs w:val="26"/>
                <w:rtl/>
              </w:rPr>
              <w:t xml:space="preserve"> </w:t>
            </w:r>
            <w:r>
              <w:rPr>
                <w:rFonts w:cs="David"/>
                <w:b/>
                <w:bCs/>
                <w:sz w:val="26"/>
                <w:szCs w:val="26"/>
                <w:rtl/>
              </w:rPr>
              <w:t>משה גפני</w:t>
            </w:r>
          </w:p>
          <w:p w:rsidR="00000000" w:rsidRDefault="00494179">
            <w:pPr>
              <w:tabs>
                <w:tab w:val="left" w:pos="2770"/>
                <w:tab w:val="left" w:pos="6192"/>
              </w:tabs>
              <w:spacing w:after="120"/>
              <w:ind w:left="2592" w:firstLine="11"/>
              <w:rPr>
                <w:rFonts w:cs="David"/>
                <w:sz w:val="26"/>
                <w:szCs w:val="26"/>
                <w:rtl/>
              </w:rPr>
            </w:pPr>
            <w:r>
              <w:rPr>
                <w:rFonts w:cs="David"/>
                <w:sz w:val="26"/>
                <w:szCs w:val="26"/>
                <w:rtl/>
              </w:rPr>
              <w:t>יורי שטרן</w:t>
            </w:r>
          </w:p>
          <w:p w:rsidR="00000000" w:rsidRDefault="00494179">
            <w:pPr>
              <w:tabs>
                <w:tab w:val="left" w:pos="2770"/>
                <w:tab w:val="left" w:pos="6192"/>
              </w:tabs>
              <w:spacing w:after="120"/>
              <w:ind w:left="2592" w:firstLine="11"/>
              <w:rPr>
                <w:rFonts w:cs="David"/>
                <w:sz w:val="26"/>
                <w:szCs w:val="26"/>
                <w:rtl/>
              </w:rPr>
            </w:pPr>
            <w:r>
              <w:rPr>
                <w:rFonts w:cs="David"/>
                <w:sz w:val="26"/>
                <w:szCs w:val="26"/>
                <w:rtl/>
              </w:rPr>
              <w:t>דוד אזולאי</w:t>
            </w:r>
          </w:p>
          <w:p w:rsidR="00000000" w:rsidRDefault="00494179">
            <w:pPr>
              <w:tabs>
                <w:tab w:val="left" w:pos="2770"/>
                <w:tab w:val="left" w:pos="6192"/>
              </w:tabs>
              <w:spacing w:after="120"/>
              <w:ind w:left="2592" w:firstLine="11"/>
              <w:rPr>
                <w:rFonts w:cs="David"/>
                <w:sz w:val="26"/>
                <w:szCs w:val="26"/>
                <w:rtl/>
              </w:rPr>
            </w:pPr>
            <w:r>
              <w:rPr>
                <w:rFonts w:cs="David"/>
                <w:sz w:val="26"/>
                <w:szCs w:val="26"/>
                <w:rtl/>
              </w:rPr>
              <w:t>אריה אלדד</w:t>
            </w:r>
          </w:p>
          <w:p w:rsidR="00000000" w:rsidRDefault="00494179">
            <w:pPr>
              <w:tabs>
                <w:tab w:val="left" w:pos="2770"/>
                <w:tab w:val="left" w:pos="6192"/>
              </w:tabs>
              <w:spacing w:after="120"/>
              <w:ind w:left="2592" w:firstLine="11"/>
              <w:rPr>
                <w:rFonts w:cs="David"/>
                <w:sz w:val="26"/>
                <w:szCs w:val="26"/>
                <w:rtl/>
              </w:rPr>
            </w:pPr>
            <w:r>
              <w:rPr>
                <w:rFonts w:cs="David"/>
                <w:sz w:val="26"/>
                <w:szCs w:val="26"/>
                <w:rtl/>
              </w:rPr>
              <w:t>טלב אלסאנע</w:t>
            </w:r>
          </w:p>
          <w:p w:rsidR="00000000" w:rsidRDefault="00494179">
            <w:pPr>
              <w:tabs>
                <w:tab w:val="left" w:pos="2770"/>
                <w:tab w:val="left" w:pos="6192"/>
              </w:tabs>
              <w:spacing w:after="120"/>
              <w:ind w:left="2592" w:firstLine="11"/>
              <w:rPr>
                <w:rFonts w:cs="David"/>
                <w:sz w:val="26"/>
                <w:szCs w:val="26"/>
                <w:rtl/>
              </w:rPr>
            </w:pPr>
            <w:r>
              <w:rPr>
                <w:rFonts w:cs="David"/>
                <w:sz w:val="26"/>
                <w:szCs w:val="26"/>
                <w:rtl/>
              </w:rPr>
              <w:t>חיים אמסלם</w:t>
            </w:r>
          </w:p>
          <w:p w:rsidR="00000000" w:rsidRDefault="00494179">
            <w:pPr>
              <w:tabs>
                <w:tab w:val="left" w:pos="2770"/>
                <w:tab w:val="left" w:pos="6192"/>
              </w:tabs>
              <w:spacing w:after="120"/>
              <w:ind w:left="2592" w:firstLine="11"/>
              <w:rPr>
                <w:rFonts w:cs="David"/>
                <w:sz w:val="26"/>
                <w:szCs w:val="26"/>
                <w:rtl/>
              </w:rPr>
            </w:pPr>
            <w:r>
              <w:rPr>
                <w:rFonts w:cs="David"/>
                <w:sz w:val="26"/>
                <w:szCs w:val="26"/>
                <w:rtl/>
              </w:rPr>
              <w:t>שלמה ברזניץ</w:t>
            </w:r>
          </w:p>
          <w:p w:rsidR="00000000" w:rsidRDefault="00494179">
            <w:pPr>
              <w:tabs>
                <w:tab w:val="left" w:pos="2770"/>
                <w:tab w:val="left" w:pos="6192"/>
              </w:tabs>
              <w:spacing w:after="120"/>
              <w:ind w:left="2592" w:firstLine="11"/>
              <w:rPr>
                <w:rFonts w:cs="David"/>
                <w:sz w:val="26"/>
                <w:szCs w:val="26"/>
                <w:rtl/>
              </w:rPr>
            </w:pPr>
            <w:r>
              <w:rPr>
                <w:rFonts w:cs="David"/>
                <w:sz w:val="26"/>
                <w:szCs w:val="26"/>
                <w:rtl/>
              </w:rPr>
              <w:t xml:space="preserve">צבי הנדל </w:t>
            </w:r>
          </w:p>
          <w:p w:rsidR="00000000" w:rsidRDefault="00494179">
            <w:pPr>
              <w:tabs>
                <w:tab w:val="left" w:pos="2770"/>
                <w:tab w:val="left" w:pos="6192"/>
              </w:tabs>
              <w:spacing w:after="120"/>
              <w:ind w:left="2592" w:firstLine="11"/>
              <w:rPr>
                <w:rFonts w:cs="David"/>
                <w:sz w:val="26"/>
                <w:szCs w:val="26"/>
                <w:rtl/>
              </w:rPr>
            </w:pPr>
            <w:r>
              <w:rPr>
                <w:rFonts w:cs="David"/>
                <w:sz w:val="26"/>
                <w:szCs w:val="26"/>
                <w:rtl/>
              </w:rPr>
              <w:t>יצחק  וקנין</w:t>
            </w:r>
          </w:p>
          <w:p w:rsidR="00000000" w:rsidRDefault="00494179">
            <w:pPr>
              <w:tabs>
                <w:tab w:val="left" w:pos="2770"/>
                <w:tab w:val="left" w:pos="6192"/>
              </w:tabs>
              <w:spacing w:after="120"/>
              <w:ind w:left="2592" w:firstLine="11"/>
              <w:rPr>
                <w:rFonts w:cs="David"/>
                <w:sz w:val="26"/>
                <w:szCs w:val="26"/>
                <w:rtl/>
              </w:rPr>
            </w:pPr>
            <w:r>
              <w:rPr>
                <w:rFonts w:cs="David"/>
                <w:sz w:val="26"/>
                <w:szCs w:val="26"/>
                <w:rtl/>
              </w:rPr>
              <w:t>נסים זאב</w:t>
            </w:r>
          </w:p>
          <w:p w:rsidR="00000000" w:rsidRDefault="00494179">
            <w:pPr>
              <w:tabs>
                <w:tab w:val="left" w:pos="2770"/>
                <w:tab w:val="left" w:pos="6192"/>
              </w:tabs>
              <w:spacing w:after="120"/>
              <w:ind w:left="2592" w:firstLine="11"/>
              <w:rPr>
                <w:rFonts w:cs="David"/>
                <w:sz w:val="26"/>
                <w:szCs w:val="26"/>
                <w:rtl/>
              </w:rPr>
            </w:pPr>
            <w:r>
              <w:rPr>
                <w:rFonts w:cs="David"/>
                <w:sz w:val="26"/>
                <w:szCs w:val="26"/>
                <w:rtl/>
              </w:rPr>
              <w:t>ואסל טאהא</w:t>
            </w:r>
          </w:p>
          <w:p w:rsidR="00000000" w:rsidRDefault="00494179">
            <w:pPr>
              <w:tabs>
                <w:tab w:val="left" w:pos="2770"/>
                <w:tab w:val="left" w:pos="6192"/>
              </w:tabs>
              <w:spacing w:after="120"/>
              <w:ind w:left="2592" w:firstLine="11"/>
              <w:rPr>
                <w:rFonts w:cs="David"/>
                <w:sz w:val="26"/>
                <w:szCs w:val="26"/>
                <w:rtl/>
              </w:rPr>
            </w:pPr>
            <w:r>
              <w:rPr>
                <w:rFonts w:cs="David"/>
                <w:sz w:val="26"/>
                <w:szCs w:val="26"/>
                <w:rtl/>
              </w:rPr>
              <w:t>אברהם מיכאלי</w:t>
            </w:r>
          </w:p>
          <w:p w:rsidR="00000000" w:rsidRDefault="00494179">
            <w:pPr>
              <w:tabs>
                <w:tab w:val="left" w:pos="2770"/>
                <w:tab w:val="left" w:pos="6192"/>
              </w:tabs>
              <w:spacing w:after="120"/>
              <w:ind w:left="2592" w:firstLine="11"/>
              <w:rPr>
                <w:rFonts w:cs="David"/>
                <w:sz w:val="26"/>
                <w:szCs w:val="26"/>
                <w:rtl/>
              </w:rPr>
            </w:pPr>
            <w:r>
              <w:rPr>
                <w:rFonts w:cs="David"/>
                <w:sz w:val="26"/>
                <w:szCs w:val="26"/>
                <w:rtl/>
              </w:rPr>
              <w:t>חנא סוייד</w:t>
            </w:r>
          </w:p>
          <w:p w:rsidR="00000000" w:rsidRDefault="00494179">
            <w:pPr>
              <w:tabs>
                <w:tab w:val="left" w:pos="2770"/>
                <w:tab w:val="left" w:pos="6192"/>
              </w:tabs>
              <w:spacing w:after="120"/>
              <w:ind w:left="2592" w:firstLine="11"/>
              <w:rPr>
                <w:rFonts w:cs="David"/>
                <w:sz w:val="26"/>
                <w:szCs w:val="26"/>
                <w:rtl/>
              </w:rPr>
            </w:pPr>
            <w:r>
              <w:rPr>
                <w:rFonts w:cs="David"/>
                <w:sz w:val="26"/>
                <w:szCs w:val="26"/>
                <w:rtl/>
              </w:rPr>
              <w:t>מרינה סולודקין</w:t>
            </w:r>
          </w:p>
          <w:p w:rsidR="00000000" w:rsidRDefault="00494179">
            <w:pPr>
              <w:tabs>
                <w:tab w:val="left" w:pos="2770"/>
                <w:tab w:val="left" w:pos="6192"/>
              </w:tabs>
              <w:spacing w:after="120"/>
              <w:ind w:left="2592" w:firstLine="11"/>
              <w:rPr>
                <w:rFonts w:cs="David"/>
                <w:sz w:val="26"/>
                <w:szCs w:val="26"/>
                <w:rtl/>
              </w:rPr>
            </w:pPr>
            <w:r>
              <w:rPr>
                <w:rFonts w:cs="David"/>
                <w:sz w:val="26"/>
                <w:szCs w:val="26"/>
                <w:rtl/>
              </w:rPr>
              <w:t>אברהים צרצור</w:t>
            </w:r>
          </w:p>
          <w:p w:rsidR="00000000" w:rsidRDefault="00494179">
            <w:pPr>
              <w:tabs>
                <w:tab w:val="left" w:pos="2770"/>
                <w:tab w:val="left" w:pos="6192"/>
              </w:tabs>
              <w:spacing w:after="120"/>
              <w:ind w:left="2592" w:firstLine="11"/>
              <w:rPr>
                <w:rFonts w:cs="David"/>
                <w:sz w:val="26"/>
                <w:szCs w:val="26"/>
              </w:rPr>
            </w:pPr>
            <w:r>
              <w:rPr>
                <w:rFonts w:cs="David"/>
                <w:sz w:val="26"/>
                <w:szCs w:val="26"/>
                <w:rtl/>
              </w:rPr>
              <w:t>רו</w:t>
            </w:r>
            <w:r>
              <w:rPr>
                <w:rFonts w:cs="David"/>
                <w:sz w:val="26"/>
                <w:szCs w:val="26"/>
                <w:rtl/>
              </w:rPr>
              <w:t>נית תירוש</w:t>
            </w:r>
            <w:r>
              <w:rPr>
                <w:rFonts w:cs="David"/>
                <w:sz w:val="26"/>
                <w:szCs w:val="26"/>
                <w:rtl/>
              </w:rPr>
              <w:tab/>
            </w:r>
            <w:bookmarkEnd w:id="2"/>
          </w:p>
        </w:tc>
      </w:tr>
    </w:tbl>
    <w:p w:rsidR="00000000" w:rsidRDefault="00494179">
      <w:pPr>
        <w:jc w:val="center"/>
        <w:rPr>
          <w:rFonts w:cs="David"/>
          <w:b/>
          <w:bCs/>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32"/>
          <w:szCs w:val="32"/>
          <w:rtl/>
        </w:rPr>
        <w:t xml:space="preserve">    </w:t>
      </w:r>
      <w:r>
        <w:rPr>
          <w:rFonts w:cs="David"/>
          <w:b/>
          <w:bCs/>
          <w:rtl/>
        </w:rPr>
        <w:t>פ/1585/17</w:t>
      </w:r>
    </w:p>
    <w:p w:rsidR="00000000" w:rsidRDefault="00494179">
      <w:pPr>
        <w:rPr>
          <w:rFonts w:cs="David"/>
          <w:sz w:val="26"/>
          <w:szCs w:val="26"/>
          <w:rtl/>
        </w:rPr>
      </w:pPr>
    </w:p>
    <w:p w:rsidR="00000000" w:rsidRDefault="00494179">
      <w:pPr>
        <w:jc w:val="center"/>
        <w:rPr>
          <w:rFonts w:cs="David"/>
          <w:b/>
          <w:bCs/>
          <w:sz w:val="28"/>
          <w:szCs w:val="28"/>
          <w:rtl/>
        </w:rPr>
      </w:pPr>
      <w:bookmarkStart w:id="3" w:name="Title"/>
      <w:r>
        <w:rPr>
          <w:rFonts w:cs="David"/>
          <w:b/>
          <w:bCs/>
          <w:sz w:val="28"/>
          <w:szCs w:val="28"/>
          <w:rtl/>
        </w:rPr>
        <w:t>הצעת חוק בתי המשפט (תיקון - פרסום שם חשוד), התשס"ז-2006</w:t>
      </w:r>
      <w:bookmarkEnd w:id="3"/>
    </w:p>
    <w:p w:rsidR="00000000" w:rsidRDefault="00494179">
      <w:pPr>
        <w:rPr>
          <w:rFonts w:cs="David"/>
          <w:sz w:val="26"/>
          <w:szCs w:val="26"/>
          <w:rtl/>
        </w:rPr>
      </w:pPr>
    </w:p>
    <w:p w:rsidR="00000000" w:rsidRDefault="00494179">
      <w:pPr>
        <w:rPr>
          <w:rFonts w:cs="David"/>
          <w:sz w:val="26"/>
          <w:szCs w:val="26"/>
          <w:rtl/>
        </w:rPr>
      </w:pPr>
    </w:p>
    <w:tbl>
      <w:tblPr>
        <w:bidiVisual/>
        <w:tblW w:w="0" w:type="auto"/>
        <w:tblInd w:w="117" w:type="dxa"/>
        <w:tblCellMar>
          <w:left w:w="57" w:type="dxa"/>
          <w:right w:w="57" w:type="dxa"/>
        </w:tblCellMar>
        <w:tblLook w:val="0000" w:firstRow="0" w:lastRow="0" w:firstColumn="0" w:lastColumn="0" w:noHBand="0" w:noVBand="0"/>
      </w:tblPr>
      <w:tblGrid>
        <w:gridCol w:w="1166"/>
        <w:gridCol w:w="357"/>
        <w:gridCol w:w="525"/>
        <w:gridCol w:w="375"/>
        <w:gridCol w:w="618"/>
        <w:gridCol w:w="462"/>
        <w:gridCol w:w="4800"/>
      </w:tblGrid>
      <w:tr w:rsidR="00000000">
        <w:tblPrEx>
          <w:tblCellMar>
            <w:top w:w="0" w:type="dxa"/>
            <w:bottom w:w="0" w:type="dxa"/>
          </w:tblCellMar>
        </w:tblPrEx>
        <w:trPr>
          <w:cantSplit/>
        </w:trPr>
        <w:tc>
          <w:tcPr>
            <w:tcW w:w="1166" w:type="dxa"/>
            <w:vMerge w:val="restart"/>
            <w:tcBorders>
              <w:top w:val="nil"/>
              <w:left w:val="nil"/>
              <w:bottom w:val="nil"/>
              <w:right w:val="nil"/>
            </w:tcBorders>
          </w:tcPr>
          <w:p w:rsidR="00000000" w:rsidRDefault="00494179">
            <w:pPr>
              <w:spacing w:after="120"/>
              <w:rPr>
                <w:rFonts w:cs="David"/>
                <w:sz w:val="26"/>
                <w:szCs w:val="26"/>
                <w:rtl/>
              </w:rPr>
            </w:pPr>
            <w:r>
              <w:rPr>
                <w:rFonts w:cs="David"/>
                <w:sz w:val="26"/>
                <w:szCs w:val="26"/>
                <w:rtl/>
              </w:rPr>
              <w:t>תיקון סעיף 70</w:t>
            </w:r>
          </w:p>
        </w:tc>
        <w:tc>
          <w:tcPr>
            <w:tcW w:w="357" w:type="dxa"/>
            <w:tcBorders>
              <w:top w:val="nil"/>
              <w:left w:val="nil"/>
              <w:bottom w:val="nil"/>
              <w:right w:val="nil"/>
            </w:tcBorders>
          </w:tcPr>
          <w:p w:rsidR="00000000" w:rsidRDefault="00494179">
            <w:pPr>
              <w:spacing w:after="120" w:line="360" w:lineRule="auto"/>
              <w:rPr>
                <w:rFonts w:cs="David"/>
                <w:sz w:val="26"/>
                <w:szCs w:val="26"/>
              </w:rPr>
            </w:pPr>
            <w:r>
              <w:rPr>
                <w:rFonts w:cs="David"/>
                <w:sz w:val="26"/>
                <w:szCs w:val="26"/>
                <w:rtl/>
              </w:rPr>
              <w:t>1.</w:t>
            </w:r>
          </w:p>
        </w:tc>
        <w:tc>
          <w:tcPr>
            <w:tcW w:w="525" w:type="dxa"/>
            <w:tcBorders>
              <w:top w:val="nil"/>
              <w:left w:val="nil"/>
              <w:bottom w:val="nil"/>
              <w:right w:val="nil"/>
            </w:tcBorders>
          </w:tcPr>
          <w:p w:rsidR="00000000" w:rsidRDefault="00494179">
            <w:pPr>
              <w:spacing w:after="120" w:line="360" w:lineRule="auto"/>
              <w:jc w:val="both"/>
              <w:rPr>
                <w:rFonts w:cs="David"/>
                <w:sz w:val="26"/>
                <w:szCs w:val="26"/>
              </w:rPr>
            </w:pPr>
            <w:r>
              <w:rPr>
                <w:rFonts w:cs="David"/>
                <w:sz w:val="26"/>
                <w:szCs w:val="26"/>
                <w:rtl/>
              </w:rPr>
              <w:t>(א)</w:t>
            </w:r>
          </w:p>
        </w:tc>
        <w:tc>
          <w:tcPr>
            <w:tcW w:w="6255" w:type="dxa"/>
            <w:gridSpan w:val="4"/>
            <w:tcBorders>
              <w:top w:val="nil"/>
              <w:left w:val="nil"/>
              <w:bottom w:val="nil"/>
              <w:right w:val="nil"/>
            </w:tcBorders>
          </w:tcPr>
          <w:p w:rsidR="00000000" w:rsidRDefault="00494179">
            <w:pPr>
              <w:spacing w:after="120" w:line="360" w:lineRule="auto"/>
              <w:jc w:val="both"/>
              <w:rPr>
                <w:rFonts w:cs="David"/>
                <w:sz w:val="26"/>
                <w:szCs w:val="26"/>
              </w:rPr>
            </w:pPr>
            <w:r>
              <w:rPr>
                <w:rFonts w:cs="David"/>
                <w:sz w:val="26"/>
                <w:szCs w:val="26"/>
                <w:rtl/>
              </w:rPr>
              <w:t>בחוק בתי המשפט [נוסח משולב], התשמ"ד - 1984</w:t>
            </w:r>
            <w:r>
              <w:rPr>
                <w:rStyle w:val="aa"/>
                <w:rFonts w:cs="David"/>
                <w:sz w:val="26"/>
                <w:szCs w:val="26"/>
                <w:rtl/>
              </w:rPr>
              <w:footnoteReference w:id="1"/>
            </w:r>
            <w:r>
              <w:rPr>
                <w:rFonts w:cs="David"/>
                <w:sz w:val="26"/>
                <w:szCs w:val="26"/>
                <w:rtl/>
              </w:rPr>
              <w:t xml:space="preserve"> (להלן - החוק העיקרי), בסעיף 70 -</w:t>
            </w:r>
          </w:p>
        </w:tc>
      </w:tr>
      <w:tr w:rsidR="00000000">
        <w:tblPrEx>
          <w:tblCellMar>
            <w:top w:w="0" w:type="dxa"/>
            <w:bottom w:w="0" w:type="dxa"/>
          </w:tblCellMar>
        </w:tblPrEx>
        <w:trPr>
          <w:cantSplit/>
        </w:trPr>
        <w:tc>
          <w:tcPr>
            <w:tcW w:w="1166" w:type="dxa"/>
            <w:vMerge/>
            <w:tcBorders>
              <w:top w:val="nil"/>
              <w:left w:val="nil"/>
              <w:bottom w:val="nil"/>
              <w:right w:val="nil"/>
            </w:tcBorders>
          </w:tcPr>
          <w:p w:rsidR="00000000" w:rsidRDefault="00494179">
            <w:pPr>
              <w:spacing w:after="120"/>
              <w:rPr>
                <w:rFonts w:cs="David"/>
                <w:sz w:val="26"/>
                <w:szCs w:val="26"/>
                <w:rtl/>
              </w:rPr>
            </w:pPr>
          </w:p>
        </w:tc>
        <w:tc>
          <w:tcPr>
            <w:tcW w:w="357" w:type="dxa"/>
            <w:tcBorders>
              <w:top w:val="nil"/>
              <w:left w:val="nil"/>
              <w:bottom w:val="nil"/>
              <w:right w:val="nil"/>
            </w:tcBorders>
          </w:tcPr>
          <w:p w:rsidR="00000000" w:rsidRDefault="00494179">
            <w:pPr>
              <w:spacing w:after="120" w:line="360" w:lineRule="auto"/>
              <w:rPr>
                <w:rFonts w:cs="David"/>
                <w:sz w:val="26"/>
                <w:szCs w:val="26"/>
                <w:rtl/>
              </w:rPr>
            </w:pPr>
          </w:p>
        </w:tc>
        <w:tc>
          <w:tcPr>
            <w:tcW w:w="525" w:type="dxa"/>
            <w:tcBorders>
              <w:top w:val="nil"/>
              <w:left w:val="nil"/>
              <w:bottom w:val="nil"/>
              <w:right w:val="nil"/>
            </w:tcBorders>
          </w:tcPr>
          <w:p w:rsidR="00000000" w:rsidRDefault="00494179">
            <w:pPr>
              <w:spacing w:after="120" w:line="360" w:lineRule="auto"/>
              <w:jc w:val="both"/>
              <w:rPr>
                <w:rFonts w:cs="David"/>
                <w:sz w:val="26"/>
                <w:szCs w:val="26"/>
                <w:rtl/>
              </w:rPr>
            </w:pPr>
          </w:p>
        </w:tc>
        <w:tc>
          <w:tcPr>
            <w:tcW w:w="375" w:type="dxa"/>
            <w:tcBorders>
              <w:top w:val="nil"/>
              <w:left w:val="nil"/>
              <w:bottom w:val="nil"/>
              <w:right w:val="nil"/>
            </w:tcBorders>
          </w:tcPr>
          <w:p w:rsidR="00000000" w:rsidRDefault="00494179">
            <w:pPr>
              <w:spacing w:after="120" w:line="360" w:lineRule="auto"/>
              <w:jc w:val="both"/>
              <w:rPr>
                <w:rFonts w:cs="David"/>
                <w:sz w:val="26"/>
                <w:szCs w:val="26"/>
                <w:rtl/>
              </w:rPr>
            </w:pPr>
            <w:r>
              <w:rPr>
                <w:rFonts w:cs="David"/>
                <w:sz w:val="26"/>
                <w:szCs w:val="26"/>
                <w:rtl/>
              </w:rPr>
              <w:t>(1)</w:t>
            </w:r>
          </w:p>
        </w:tc>
        <w:tc>
          <w:tcPr>
            <w:tcW w:w="5880" w:type="dxa"/>
            <w:gridSpan w:val="3"/>
            <w:tcBorders>
              <w:top w:val="nil"/>
              <w:left w:val="nil"/>
              <w:bottom w:val="nil"/>
              <w:right w:val="nil"/>
            </w:tcBorders>
          </w:tcPr>
          <w:p w:rsidR="00000000" w:rsidRDefault="00494179">
            <w:pPr>
              <w:spacing w:after="120" w:line="360" w:lineRule="auto"/>
              <w:jc w:val="both"/>
              <w:rPr>
                <w:rFonts w:cs="David"/>
                <w:sz w:val="26"/>
                <w:szCs w:val="26"/>
                <w:rtl/>
              </w:rPr>
            </w:pPr>
            <w:r>
              <w:rPr>
                <w:rFonts w:cs="David"/>
                <w:sz w:val="26"/>
                <w:szCs w:val="26"/>
                <w:rtl/>
              </w:rPr>
              <w:t>במקום סעיף קטן (ה) יבוא:</w:t>
            </w:r>
          </w:p>
        </w:tc>
      </w:tr>
      <w:tr w:rsidR="00000000">
        <w:tblPrEx>
          <w:tblCellMar>
            <w:top w:w="0" w:type="dxa"/>
            <w:bottom w:w="0" w:type="dxa"/>
          </w:tblCellMar>
        </w:tblPrEx>
        <w:trPr>
          <w:cantSplit/>
        </w:trPr>
        <w:tc>
          <w:tcPr>
            <w:tcW w:w="1166" w:type="dxa"/>
            <w:tcBorders>
              <w:top w:val="nil"/>
              <w:left w:val="nil"/>
              <w:bottom w:val="nil"/>
              <w:right w:val="nil"/>
            </w:tcBorders>
          </w:tcPr>
          <w:p w:rsidR="00000000" w:rsidRDefault="00494179">
            <w:pPr>
              <w:spacing w:after="120"/>
              <w:rPr>
                <w:rFonts w:cs="David"/>
                <w:sz w:val="26"/>
                <w:szCs w:val="26"/>
                <w:rtl/>
              </w:rPr>
            </w:pPr>
          </w:p>
        </w:tc>
        <w:tc>
          <w:tcPr>
            <w:tcW w:w="357" w:type="dxa"/>
            <w:tcBorders>
              <w:top w:val="nil"/>
              <w:left w:val="nil"/>
              <w:bottom w:val="nil"/>
              <w:right w:val="nil"/>
            </w:tcBorders>
          </w:tcPr>
          <w:p w:rsidR="00000000" w:rsidRDefault="00494179">
            <w:pPr>
              <w:spacing w:after="120" w:line="360" w:lineRule="auto"/>
              <w:rPr>
                <w:rFonts w:cs="David"/>
                <w:sz w:val="26"/>
                <w:szCs w:val="26"/>
                <w:rtl/>
              </w:rPr>
            </w:pPr>
          </w:p>
        </w:tc>
        <w:tc>
          <w:tcPr>
            <w:tcW w:w="525" w:type="dxa"/>
            <w:tcBorders>
              <w:top w:val="nil"/>
              <w:left w:val="nil"/>
              <w:bottom w:val="nil"/>
              <w:right w:val="nil"/>
            </w:tcBorders>
          </w:tcPr>
          <w:p w:rsidR="00000000" w:rsidRDefault="00494179">
            <w:pPr>
              <w:spacing w:after="120" w:line="360" w:lineRule="auto"/>
              <w:jc w:val="both"/>
              <w:rPr>
                <w:rFonts w:cs="David"/>
                <w:sz w:val="26"/>
                <w:szCs w:val="26"/>
                <w:rtl/>
              </w:rPr>
            </w:pPr>
          </w:p>
        </w:tc>
        <w:tc>
          <w:tcPr>
            <w:tcW w:w="375" w:type="dxa"/>
            <w:tcBorders>
              <w:top w:val="nil"/>
              <w:left w:val="nil"/>
              <w:bottom w:val="nil"/>
              <w:right w:val="nil"/>
            </w:tcBorders>
          </w:tcPr>
          <w:p w:rsidR="00000000" w:rsidRDefault="00494179">
            <w:pPr>
              <w:spacing w:after="120" w:line="360" w:lineRule="auto"/>
              <w:jc w:val="both"/>
              <w:rPr>
                <w:rFonts w:cs="David"/>
                <w:sz w:val="26"/>
                <w:szCs w:val="26"/>
                <w:rtl/>
              </w:rPr>
            </w:pPr>
          </w:p>
        </w:tc>
        <w:tc>
          <w:tcPr>
            <w:tcW w:w="618" w:type="dxa"/>
            <w:tcBorders>
              <w:top w:val="nil"/>
              <w:left w:val="nil"/>
              <w:bottom w:val="nil"/>
              <w:right w:val="nil"/>
            </w:tcBorders>
          </w:tcPr>
          <w:p w:rsidR="00000000" w:rsidRDefault="00494179">
            <w:pPr>
              <w:spacing w:after="120" w:line="360" w:lineRule="auto"/>
              <w:jc w:val="both"/>
              <w:rPr>
                <w:rFonts w:cs="David"/>
                <w:sz w:val="26"/>
                <w:szCs w:val="26"/>
                <w:rtl/>
              </w:rPr>
            </w:pPr>
            <w:r>
              <w:rPr>
                <w:rFonts w:cs="David"/>
                <w:sz w:val="26"/>
                <w:szCs w:val="26"/>
                <w:rtl/>
              </w:rPr>
              <w:t>"(ה)</w:t>
            </w:r>
          </w:p>
        </w:tc>
        <w:tc>
          <w:tcPr>
            <w:tcW w:w="5262" w:type="dxa"/>
            <w:gridSpan w:val="2"/>
            <w:tcBorders>
              <w:top w:val="nil"/>
              <w:left w:val="nil"/>
              <w:bottom w:val="nil"/>
              <w:right w:val="nil"/>
            </w:tcBorders>
          </w:tcPr>
          <w:p w:rsidR="00000000" w:rsidRDefault="00494179">
            <w:pPr>
              <w:spacing w:line="360" w:lineRule="auto"/>
              <w:jc w:val="both"/>
              <w:rPr>
                <w:rFonts w:cs="David"/>
                <w:sz w:val="26"/>
                <w:szCs w:val="26"/>
                <w:rtl/>
              </w:rPr>
            </w:pPr>
            <w:r>
              <w:rPr>
                <w:rFonts w:cs="David"/>
                <w:sz w:val="26"/>
                <w:szCs w:val="26"/>
                <w:rtl/>
              </w:rPr>
              <w:t>לא יפרסם אדם שמו של חשוד שטרם הוגש נגדו כתב אישום או פרט אחר מפרטי החקירה, אלא אם מצא בית המשפט כי הדבר נחוץ לשם קידום חקירה שעל פי דין, או כי יש להעדיף את העניין הציבורי שבפרסום על פני מניעת הנזק שעלול להיגרם לחשוד עקב הפרסום.</w:t>
            </w:r>
          </w:p>
          <w:p w:rsidR="00000000" w:rsidRDefault="00494179">
            <w:pPr>
              <w:spacing w:line="360" w:lineRule="auto"/>
              <w:jc w:val="both"/>
              <w:rPr>
                <w:rFonts w:cs="David"/>
                <w:sz w:val="26"/>
                <w:szCs w:val="26"/>
                <w:rtl/>
              </w:rPr>
            </w:pPr>
          </w:p>
        </w:tc>
      </w:tr>
      <w:tr w:rsidR="00000000">
        <w:tblPrEx>
          <w:tblCellMar>
            <w:top w:w="0" w:type="dxa"/>
            <w:bottom w:w="0" w:type="dxa"/>
          </w:tblCellMar>
        </w:tblPrEx>
        <w:trPr>
          <w:cantSplit/>
        </w:trPr>
        <w:tc>
          <w:tcPr>
            <w:tcW w:w="1166" w:type="dxa"/>
            <w:tcBorders>
              <w:top w:val="nil"/>
              <w:left w:val="nil"/>
              <w:bottom w:val="nil"/>
              <w:right w:val="nil"/>
            </w:tcBorders>
          </w:tcPr>
          <w:p w:rsidR="00000000" w:rsidRDefault="00494179">
            <w:pPr>
              <w:spacing w:after="120"/>
              <w:rPr>
                <w:rFonts w:cs="David"/>
                <w:sz w:val="26"/>
                <w:szCs w:val="26"/>
                <w:rtl/>
              </w:rPr>
            </w:pPr>
          </w:p>
        </w:tc>
        <w:tc>
          <w:tcPr>
            <w:tcW w:w="357" w:type="dxa"/>
            <w:tcBorders>
              <w:top w:val="nil"/>
              <w:left w:val="nil"/>
              <w:bottom w:val="nil"/>
              <w:right w:val="nil"/>
            </w:tcBorders>
          </w:tcPr>
          <w:p w:rsidR="00000000" w:rsidRDefault="00494179">
            <w:pPr>
              <w:spacing w:after="120" w:line="360" w:lineRule="auto"/>
              <w:rPr>
                <w:rFonts w:cs="David"/>
                <w:sz w:val="26"/>
                <w:szCs w:val="26"/>
                <w:rtl/>
              </w:rPr>
            </w:pPr>
          </w:p>
        </w:tc>
        <w:tc>
          <w:tcPr>
            <w:tcW w:w="525" w:type="dxa"/>
            <w:tcBorders>
              <w:top w:val="nil"/>
              <w:left w:val="nil"/>
              <w:bottom w:val="nil"/>
              <w:right w:val="nil"/>
            </w:tcBorders>
          </w:tcPr>
          <w:p w:rsidR="00000000" w:rsidRDefault="00494179">
            <w:pPr>
              <w:spacing w:after="120" w:line="360" w:lineRule="auto"/>
              <w:jc w:val="both"/>
              <w:rPr>
                <w:rFonts w:cs="David"/>
                <w:sz w:val="26"/>
                <w:szCs w:val="26"/>
                <w:rtl/>
              </w:rPr>
            </w:pPr>
          </w:p>
        </w:tc>
        <w:tc>
          <w:tcPr>
            <w:tcW w:w="375" w:type="dxa"/>
            <w:tcBorders>
              <w:top w:val="nil"/>
              <w:left w:val="nil"/>
              <w:bottom w:val="nil"/>
              <w:right w:val="nil"/>
            </w:tcBorders>
          </w:tcPr>
          <w:p w:rsidR="00000000" w:rsidRDefault="00494179">
            <w:pPr>
              <w:spacing w:after="120" w:line="360" w:lineRule="auto"/>
              <w:jc w:val="both"/>
              <w:rPr>
                <w:rFonts w:cs="David"/>
                <w:sz w:val="26"/>
                <w:szCs w:val="26"/>
                <w:rtl/>
              </w:rPr>
            </w:pPr>
            <w:r>
              <w:rPr>
                <w:rFonts w:cs="David"/>
                <w:sz w:val="26"/>
                <w:szCs w:val="26"/>
                <w:rtl/>
              </w:rPr>
              <w:t>(2)</w:t>
            </w:r>
          </w:p>
        </w:tc>
        <w:tc>
          <w:tcPr>
            <w:tcW w:w="5880" w:type="dxa"/>
            <w:gridSpan w:val="3"/>
            <w:tcBorders>
              <w:top w:val="nil"/>
              <w:left w:val="nil"/>
              <w:bottom w:val="nil"/>
              <w:right w:val="nil"/>
            </w:tcBorders>
          </w:tcPr>
          <w:p w:rsidR="00000000" w:rsidRDefault="00494179">
            <w:pPr>
              <w:spacing w:line="360" w:lineRule="auto"/>
              <w:jc w:val="both"/>
              <w:rPr>
                <w:rFonts w:cs="David"/>
                <w:sz w:val="26"/>
                <w:szCs w:val="26"/>
                <w:rtl/>
              </w:rPr>
            </w:pPr>
            <w:r>
              <w:rPr>
                <w:rFonts w:cs="David"/>
                <w:sz w:val="26"/>
                <w:szCs w:val="26"/>
                <w:rtl/>
              </w:rPr>
              <w:t>סעיף קטן</w:t>
            </w:r>
            <w:r>
              <w:rPr>
                <w:rFonts w:cs="David"/>
                <w:sz w:val="26"/>
                <w:szCs w:val="26"/>
                <w:rtl/>
              </w:rPr>
              <w:t xml:space="preserve"> (ה1) – בטל.</w:t>
            </w:r>
          </w:p>
        </w:tc>
      </w:tr>
      <w:tr w:rsidR="00000000">
        <w:tblPrEx>
          <w:tblCellMar>
            <w:top w:w="0" w:type="dxa"/>
            <w:bottom w:w="0" w:type="dxa"/>
          </w:tblCellMar>
        </w:tblPrEx>
        <w:trPr>
          <w:cantSplit/>
        </w:trPr>
        <w:tc>
          <w:tcPr>
            <w:tcW w:w="1166" w:type="dxa"/>
            <w:tcBorders>
              <w:top w:val="nil"/>
              <w:left w:val="nil"/>
              <w:bottom w:val="nil"/>
              <w:right w:val="nil"/>
            </w:tcBorders>
          </w:tcPr>
          <w:p w:rsidR="00000000" w:rsidRDefault="00494179">
            <w:pPr>
              <w:spacing w:after="120"/>
              <w:rPr>
                <w:rFonts w:cs="David"/>
                <w:sz w:val="26"/>
                <w:szCs w:val="26"/>
                <w:rtl/>
              </w:rPr>
            </w:pPr>
          </w:p>
        </w:tc>
        <w:tc>
          <w:tcPr>
            <w:tcW w:w="357" w:type="dxa"/>
            <w:tcBorders>
              <w:top w:val="nil"/>
              <w:left w:val="nil"/>
              <w:bottom w:val="nil"/>
              <w:right w:val="nil"/>
            </w:tcBorders>
          </w:tcPr>
          <w:p w:rsidR="00000000" w:rsidRDefault="00494179">
            <w:pPr>
              <w:spacing w:after="120" w:line="360" w:lineRule="auto"/>
              <w:rPr>
                <w:rFonts w:cs="David"/>
                <w:sz w:val="26"/>
                <w:szCs w:val="26"/>
                <w:rtl/>
              </w:rPr>
            </w:pPr>
          </w:p>
        </w:tc>
        <w:tc>
          <w:tcPr>
            <w:tcW w:w="525" w:type="dxa"/>
            <w:tcBorders>
              <w:top w:val="nil"/>
              <w:left w:val="nil"/>
              <w:bottom w:val="nil"/>
              <w:right w:val="nil"/>
            </w:tcBorders>
          </w:tcPr>
          <w:p w:rsidR="00000000" w:rsidRDefault="00494179">
            <w:pPr>
              <w:spacing w:after="120" w:line="360" w:lineRule="auto"/>
              <w:jc w:val="both"/>
              <w:rPr>
                <w:rFonts w:cs="David"/>
                <w:sz w:val="26"/>
                <w:szCs w:val="26"/>
                <w:rtl/>
              </w:rPr>
            </w:pPr>
          </w:p>
        </w:tc>
        <w:tc>
          <w:tcPr>
            <w:tcW w:w="375" w:type="dxa"/>
            <w:tcBorders>
              <w:top w:val="nil"/>
              <w:left w:val="nil"/>
              <w:bottom w:val="nil"/>
              <w:right w:val="nil"/>
            </w:tcBorders>
          </w:tcPr>
          <w:p w:rsidR="00000000" w:rsidRDefault="00494179">
            <w:pPr>
              <w:spacing w:after="120" w:line="360" w:lineRule="auto"/>
              <w:jc w:val="both"/>
              <w:rPr>
                <w:rFonts w:cs="David"/>
                <w:sz w:val="26"/>
                <w:szCs w:val="26"/>
                <w:rtl/>
              </w:rPr>
            </w:pPr>
            <w:r>
              <w:rPr>
                <w:rFonts w:cs="David"/>
                <w:sz w:val="26"/>
                <w:szCs w:val="26"/>
                <w:rtl/>
              </w:rPr>
              <w:t>(3)</w:t>
            </w:r>
          </w:p>
        </w:tc>
        <w:tc>
          <w:tcPr>
            <w:tcW w:w="5880" w:type="dxa"/>
            <w:gridSpan w:val="3"/>
            <w:tcBorders>
              <w:top w:val="nil"/>
              <w:left w:val="nil"/>
              <w:bottom w:val="nil"/>
              <w:right w:val="nil"/>
            </w:tcBorders>
          </w:tcPr>
          <w:p w:rsidR="00000000" w:rsidRDefault="00494179">
            <w:pPr>
              <w:spacing w:line="360" w:lineRule="auto"/>
              <w:jc w:val="both"/>
              <w:rPr>
                <w:rFonts w:cs="David"/>
                <w:sz w:val="26"/>
                <w:szCs w:val="26"/>
                <w:rtl/>
              </w:rPr>
            </w:pPr>
            <w:r>
              <w:rPr>
                <w:rFonts w:cs="David"/>
                <w:sz w:val="26"/>
                <w:szCs w:val="26"/>
                <w:rtl/>
              </w:rPr>
              <w:t>אחרי סעיף קטן (ה2) יבוא:</w:t>
            </w:r>
          </w:p>
        </w:tc>
      </w:tr>
      <w:tr w:rsidR="00000000">
        <w:tblPrEx>
          <w:tblCellMar>
            <w:top w:w="0" w:type="dxa"/>
            <w:bottom w:w="0" w:type="dxa"/>
          </w:tblCellMar>
        </w:tblPrEx>
        <w:trPr>
          <w:cantSplit/>
        </w:trPr>
        <w:tc>
          <w:tcPr>
            <w:tcW w:w="1166" w:type="dxa"/>
            <w:tcBorders>
              <w:top w:val="nil"/>
              <w:left w:val="nil"/>
              <w:bottom w:val="nil"/>
              <w:right w:val="nil"/>
            </w:tcBorders>
          </w:tcPr>
          <w:p w:rsidR="00000000" w:rsidRDefault="00494179">
            <w:pPr>
              <w:spacing w:after="120"/>
              <w:rPr>
                <w:rFonts w:cs="David"/>
                <w:sz w:val="26"/>
                <w:szCs w:val="26"/>
                <w:rtl/>
              </w:rPr>
            </w:pPr>
          </w:p>
        </w:tc>
        <w:tc>
          <w:tcPr>
            <w:tcW w:w="357" w:type="dxa"/>
            <w:tcBorders>
              <w:top w:val="nil"/>
              <w:left w:val="nil"/>
              <w:bottom w:val="nil"/>
              <w:right w:val="nil"/>
            </w:tcBorders>
          </w:tcPr>
          <w:p w:rsidR="00000000" w:rsidRDefault="00494179">
            <w:pPr>
              <w:spacing w:after="120" w:line="360" w:lineRule="auto"/>
              <w:rPr>
                <w:rFonts w:cs="David"/>
                <w:sz w:val="26"/>
                <w:szCs w:val="26"/>
                <w:rtl/>
              </w:rPr>
            </w:pPr>
          </w:p>
        </w:tc>
        <w:tc>
          <w:tcPr>
            <w:tcW w:w="525" w:type="dxa"/>
            <w:tcBorders>
              <w:top w:val="nil"/>
              <w:left w:val="nil"/>
              <w:bottom w:val="nil"/>
              <w:right w:val="nil"/>
            </w:tcBorders>
          </w:tcPr>
          <w:p w:rsidR="00000000" w:rsidRDefault="00494179">
            <w:pPr>
              <w:spacing w:after="120" w:line="360" w:lineRule="auto"/>
              <w:jc w:val="both"/>
              <w:rPr>
                <w:rFonts w:cs="David"/>
                <w:sz w:val="26"/>
                <w:szCs w:val="26"/>
                <w:rtl/>
              </w:rPr>
            </w:pPr>
          </w:p>
        </w:tc>
        <w:tc>
          <w:tcPr>
            <w:tcW w:w="375" w:type="dxa"/>
            <w:tcBorders>
              <w:top w:val="nil"/>
              <w:left w:val="nil"/>
              <w:bottom w:val="nil"/>
              <w:right w:val="nil"/>
            </w:tcBorders>
          </w:tcPr>
          <w:p w:rsidR="00000000" w:rsidRDefault="00494179">
            <w:pPr>
              <w:spacing w:after="120" w:line="360" w:lineRule="auto"/>
              <w:jc w:val="both"/>
              <w:rPr>
                <w:rFonts w:cs="David"/>
                <w:sz w:val="26"/>
                <w:szCs w:val="26"/>
                <w:rtl/>
              </w:rPr>
            </w:pPr>
          </w:p>
        </w:tc>
        <w:tc>
          <w:tcPr>
            <w:tcW w:w="618" w:type="dxa"/>
            <w:tcBorders>
              <w:top w:val="nil"/>
              <w:left w:val="nil"/>
              <w:bottom w:val="nil"/>
              <w:right w:val="nil"/>
            </w:tcBorders>
          </w:tcPr>
          <w:p w:rsidR="00000000" w:rsidRDefault="00494179">
            <w:pPr>
              <w:spacing w:after="120" w:line="360" w:lineRule="auto"/>
              <w:jc w:val="both"/>
              <w:rPr>
                <w:rFonts w:cs="David"/>
                <w:sz w:val="26"/>
                <w:szCs w:val="26"/>
                <w:rtl/>
              </w:rPr>
            </w:pPr>
            <w:r>
              <w:rPr>
                <w:rFonts w:cs="David"/>
                <w:sz w:val="26"/>
                <w:szCs w:val="26"/>
                <w:rtl/>
              </w:rPr>
              <w:t>"(ה3)</w:t>
            </w:r>
          </w:p>
        </w:tc>
        <w:tc>
          <w:tcPr>
            <w:tcW w:w="462" w:type="dxa"/>
            <w:tcBorders>
              <w:top w:val="nil"/>
              <w:left w:val="nil"/>
              <w:bottom w:val="nil"/>
              <w:right w:val="nil"/>
            </w:tcBorders>
          </w:tcPr>
          <w:p w:rsidR="00000000" w:rsidRDefault="00494179">
            <w:pPr>
              <w:spacing w:line="360" w:lineRule="auto"/>
              <w:jc w:val="both"/>
              <w:rPr>
                <w:rFonts w:cs="David"/>
                <w:sz w:val="26"/>
                <w:szCs w:val="26"/>
                <w:rtl/>
              </w:rPr>
            </w:pPr>
            <w:r>
              <w:rPr>
                <w:rFonts w:cs="David"/>
                <w:sz w:val="26"/>
                <w:szCs w:val="26"/>
                <w:rtl/>
              </w:rPr>
              <w:t>(1)</w:t>
            </w:r>
          </w:p>
        </w:tc>
        <w:tc>
          <w:tcPr>
            <w:tcW w:w="4800" w:type="dxa"/>
            <w:tcBorders>
              <w:top w:val="nil"/>
              <w:left w:val="nil"/>
              <w:bottom w:val="nil"/>
              <w:right w:val="nil"/>
            </w:tcBorders>
          </w:tcPr>
          <w:p w:rsidR="00000000" w:rsidRDefault="00494179">
            <w:pPr>
              <w:spacing w:line="360" w:lineRule="auto"/>
              <w:jc w:val="both"/>
              <w:rPr>
                <w:rFonts w:cs="David"/>
                <w:sz w:val="26"/>
                <w:szCs w:val="26"/>
              </w:rPr>
            </w:pPr>
            <w:r>
              <w:rPr>
                <w:rFonts w:cs="David"/>
                <w:sz w:val="26"/>
                <w:szCs w:val="26"/>
                <w:rtl/>
              </w:rPr>
              <w:t>לא יפרסם אדם דבר על כתב אישום שהוגש, טרם חלפו 30 ימים ממועד הגשת כתב האישום;</w:t>
            </w:r>
          </w:p>
        </w:tc>
      </w:tr>
      <w:tr w:rsidR="00000000">
        <w:tblPrEx>
          <w:tblCellMar>
            <w:top w:w="0" w:type="dxa"/>
            <w:bottom w:w="0" w:type="dxa"/>
          </w:tblCellMar>
        </w:tblPrEx>
        <w:trPr>
          <w:cantSplit/>
        </w:trPr>
        <w:tc>
          <w:tcPr>
            <w:tcW w:w="1166" w:type="dxa"/>
            <w:tcBorders>
              <w:top w:val="nil"/>
              <w:left w:val="nil"/>
              <w:bottom w:val="nil"/>
              <w:right w:val="nil"/>
            </w:tcBorders>
          </w:tcPr>
          <w:p w:rsidR="00000000" w:rsidRDefault="00494179">
            <w:pPr>
              <w:spacing w:after="120"/>
              <w:rPr>
                <w:rFonts w:cs="David"/>
                <w:sz w:val="26"/>
                <w:szCs w:val="26"/>
                <w:rtl/>
              </w:rPr>
            </w:pPr>
          </w:p>
        </w:tc>
        <w:tc>
          <w:tcPr>
            <w:tcW w:w="357" w:type="dxa"/>
            <w:tcBorders>
              <w:top w:val="nil"/>
              <w:left w:val="nil"/>
              <w:bottom w:val="nil"/>
              <w:right w:val="nil"/>
            </w:tcBorders>
          </w:tcPr>
          <w:p w:rsidR="00000000" w:rsidRDefault="00494179">
            <w:pPr>
              <w:spacing w:after="120" w:line="360" w:lineRule="auto"/>
              <w:rPr>
                <w:rFonts w:cs="David"/>
                <w:sz w:val="26"/>
                <w:szCs w:val="26"/>
                <w:rtl/>
              </w:rPr>
            </w:pPr>
          </w:p>
        </w:tc>
        <w:tc>
          <w:tcPr>
            <w:tcW w:w="525" w:type="dxa"/>
            <w:tcBorders>
              <w:top w:val="nil"/>
              <w:left w:val="nil"/>
              <w:bottom w:val="nil"/>
              <w:right w:val="nil"/>
            </w:tcBorders>
          </w:tcPr>
          <w:p w:rsidR="00000000" w:rsidRDefault="00494179">
            <w:pPr>
              <w:spacing w:after="120" w:line="360" w:lineRule="auto"/>
              <w:jc w:val="both"/>
              <w:rPr>
                <w:rFonts w:cs="David"/>
                <w:sz w:val="26"/>
                <w:szCs w:val="26"/>
                <w:rtl/>
              </w:rPr>
            </w:pPr>
          </w:p>
        </w:tc>
        <w:tc>
          <w:tcPr>
            <w:tcW w:w="375" w:type="dxa"/>
            <w:tcBorders>
              <w:top w:val="nil"/>
              <w:left w:val="nil"/>
              <w:bottom w:val="nil"/>
              <w:right w:val="nil"/>
            </w:tcBorders>
          </w:tcPr>
          <w:p w:rsidR="00000000" w:rsidRDefault="00494179">
            <w:pPr>
              <w:spacing w:after="120" w:line="360" w:lineRule="auto"/>
              <w:jc w:val="both"/>
              <w:rPr>
                <w:rFonts w:cs="David"/>
                <w:sz w:val="26"/>
                <w:szCs w:val="26"/>
                <w:rtl/>
              </w:rPr>
            </w:pPr>
          </w:p>
        </w:tc>
        <w:tc>
          <w:tcPr>
            <w:tcW w:w="618" w:type="dxa"/>
            <w:tcBorders>
              <w:top w:val="nil"/>
              <w:left w:val="nil"/>
              <w:bottom w:val="nil"/>
              <w:right w:val="nil"/>
            </w:tcBorders>
          </w:tcPr>
          <w:p w:rsidR="00000000" w:rsidRDefault="00494179">
            <w:pPr>
              <w:spacing w:after="120" w:line="360" w:lineRule="auto"/>
              <w:jc w:val="both"/>
              <w:rPr>
                <w:rFonts w:cs="David"/>
                <w:sz w:val="26"/>
                <w:szCs w:val="26"/>
                <w:rtl/>
              </w:rPr>
            </w:pPr>
          </w:p>
        </w:tc>
        <w:tc>
          <w:tcPr>
            <w:tcW w:w="462" w:type="dxa"/>
            <w:tcBorders>
              <w:top w:val="nil"/>
              <w:left w:val="nil"/>
              <w:bottom w:val="nil"/>
              <w:right w:val="nil"/>
            </w:tcBorders>
          </w:tcPr>
          <w:p w:rsidR="00000000" w:rsidRDefault="00494179">
            <w:pPr>
              <w:spacing w:line="360" w:lineRule="auto"/>
              <w:jc w:val="both"/>
              <w:rPr>
                <w:rFonts w:cs="David"/>
                <w:sz w:val="26"/>
                <w:szCs w:val="26"/>
                <w:rtl/>
              </w:rPr>
            </w:pPr>
            <w:r>
              <w:rPr>
                <w:rFonts w:cs="David"/>
                <w:sz w:val="26"/>
                <w:szCs w:val="26"/>
                <w:rtl/>
              </w:rPr>
              <w:t>(2)</w:t>
            </w:r>
          </w:p>
        </w:tc>
        <w:tc>
          <w:tcPr>
            <w:tcW w:w="4800" w:type="dxa"/>
            <w:tcBorders>
              <w:top w:val="nil"/>
              <w:left w:val="nil"/>
              <w:bottom w:val="nil"/>
              <w:right w:val="nil"/>
            </w:tcBorders>
          </w:tcPr>
          <w:p w:rsidR="00000000" w:rsidRDefault="00494179">
            <w:pPr>
              <w:spacing w:line="360" w:lineRule="auto"/>
              <w:jc w:val="both"/>
              <w:rPr>
                <w:rFonts w:cs="David"/>
                <w:sz w:val="26"/>
                <w:szCs w:val="26"/>
              </w:rPr>
            </w:pPr>
            <w:r>
              <w:rPr>
                <w:rFonts w:cs="David"/>
                <w:sz w:val="26"/>
                <w:szCs w:val="26"/>
                <w:rtl/>
              </w:rPr>
              <w:t>לא יפרסם אדם דבר על תובענה שהוגשה, טרם חלפו 30 ימים ממועד הגשת כתב האישום;</w:t>
            </w:r>
          </w:p>
        </w:tc>
      </w:tr>
      <w:tr w:rsidR="00000000">
        <w:tblPrEx>
          <w:tblCellMar>
            <w:top w:w="0" w:type="dxa"/>
            <w:bottom w:w="0" w:type="dxa"/>
          </w:tblCellMar>
        </w:tblPrEx>
        <w:trPr>
          <w:cantSplit/>
        </w:trPr>
        <w:tc>
          <w:tcPr>
            <w:tcW w:w="1166" w:type="dxa"/>
            <w:tcBorders>
              <w:top w:val="nil"/>
              <w:left w:val="nil"/>
              <w:bottom w:val="nil"/>
              <w:right w:val="nil"/>
            </w:tcBorders>
          </w:tcPr>
          <w:p w:rsidR="00000000" w:rsidRDefault="00494179">
            <w:pPr>
              <w:spacing w:after="120"/>
              <w:rPr>
                <w:rFonts w:cs="David"/>
                <w:sz w:val="26"/>
                <w:szCs w:val="26"/>
                <w:rtl/>
              </w:rPr>
            </w:pPr>
          </w:p>
        </w:tc>
        <w:tc>
          <w:tcPr>
            <w:tcW w:w="357" w:type="dxa"/>
            <w:tcBorders>
              <w:top w:val="nil"/>
              <w:left w:val="nil"/>
              <w:bottom w:val="nil"/>
              <w:right w:val="nil"/>
            </w:tcBorders>
          </w:tcPr>
          <w:p w:rsidR="00000000" w:rsidRDefault="00494179">
            <w:pPr>
              <w:spacing w:after="120" w:line="360" w:lineRule="auto"/>
              <w:rPr>
                <w:rFonts w:cs="David"/>
                <w:sz w:val="26"/>
                <w:szCs w:val="26"/>
                <w:rtl/>
              </w:rPr>
            </w:pPr>
          </w:p>
        </w:tc>
        <w:tc>
          <w:tcPr>
            <w:tcW w:w="525" w:type="dxa"/>
            <w:tcBorders>
              <w:top w:val="nil"/>
              <w:left w:val="nil"/>
              <w:bottom w:val="nil"/>
              <w:right w:val="nil"/>
            </w:tcBorders>
          </w:tcPr>
          <w:p w:rsidR="00000000" w:rsidRDefault="00494179">
            <w:pPr>
              <w:spacing w:after="120" w:line="360" w:lineRule="auto"/>
              <w:jc w:val="both"/>
              <w:rPr>
                <w:rFonts w:cs="David"/>
                <w:sz w:val="26"/>
                <w:szCs w:val="26"/>
                <w:rtl/>
              </w:rPr>
            </w:pPr>
          </w:p>
        </w:tc>
        <w:tc>
          <w:tcPr>
            <w:tcW w:w="375" w:type="dxa"/>
            <w:tcBorders>
              <w:top w:val="nil"/>
              <w:left w:val="nil"/>
              <w:bottom w:val="nil"/>
              <w:right w:val="nil"/>
            </w:tcBorders>
          </w:tcPr>
          <w:p w:rsidR="00000000" w:rsidRDefault="00494179">
            <w:pPr>
              <w:spacing w:after="120" w:line="360" w:lineRule="auto"/>
              <w:jc w:val="both"/>
              <w:rPr>
                <w:rFonts w:cs="David"/>
                <w:sz w:val="26"/>
                <w:szCs w:val="26"/>
                <w:rtl/>
              </w:rPr>
            </w:pPr>
          </w:p>
        </w:tc>
        <w:tc>
          <w:tcPr>
            <w:tcW w:w="618" w:type="dxa"/>
            <w:tcBorders>
              <w:top w:val="nil"/>
              <w:left w:val="nil"/>
              <w:bottom w:val="nil"/>
              <w:right w:val="nil"/>
            </w:tcBorders>
          </w:tcPr>
          <w:p w:rsidR="00000000" w:rsidRDefault="00494179">
            <w:pPr>
              <w:spacing w:after="120" w:line="360" w:lineRule="auto"/>
              <w:jc w:val="both"/>
              <w:rPr>
                <w:rFonts w:cs="David"/>
                <w:sz w:val="26"/>
                <w:szCs w:val="26"/>
                <w:rtl/>
              </w:rPr>
            </w:pPr>
          </w:p>
        </w:tc>
        <w:tc>
          <w:tcPr>
            <w:tcW w:w="462" w:type="dxa"/>
            <w:tcBorders>
              <w:top w:val="nil"/>
              <w:left w:val="nil"/>
              <w:bottom w:val="nil"/>
              <w:right w:val="nil"/>
            </w:tcBorders>
          </w:tcPr>
          <w:p w:rsidR="00000000" w:rsidRDefault="00494179">
            <w:pPr>
              <w:spacing w:line="360" w:lineRule="auto"/>
              <w:jc w:val="both"/>
              <w:rPr>
                <w:rFonts w:cs="David"/>
                <w:sz w:val="26"/>
                <w:szCs w:val="26"/>
                <w:rtl/>
              </w:rPr>
            </w:pPr>
            <w:r>
              <w:rPr>
                <w:rFonts w:cs="David"/>
                <w:sz w:val="26"/>
                <w:szCs w:val="26"/>
                <w:rtl/>
              </w:rPr>
              <w:t>(3)</w:t>
            </w:r>
          </w:p>
        </w:tc>
        <w:tc>
          <w:tcPr>
            <w:tcW w:w="4800" w:type="dxa"/>
            <w:tcBorders>
              <w:top w:val="nil"/>
              <w:left w:val="nil"/>
              <w:bottom w:val="nil"/>
              <w:right w:val="nil"/>
            </w:tcBorders>
          </w:tcPr>
          <w:p w:rsidR="00000000" w:rsidRDefault="00494179">
            <w:pPr>
              <w:spacing w:line="360" w:lineRule="auto"/>
              <w:jc w:val="both"/>
              <w:rPr>
                <w:rFonts w:cs="David"/>
                <w:sz w:val="26"/>
                <w:szCs w:val="26"/>
                <w:rtl/>
              </w:rPr>
            </w:pPr>
            <w:r>
              <w:rPr>
                <w:rFonts w:cs="David"/>
                <w:sz w:val="26"/>
                <w:szCs w:val="26"/>
                <w:rtl/>
              </w:rPr>
              <w:t>על אף האמור בפסקאות</w:t>
            </w:r>
            <w:r>
              <w:rPr>
                <w:rFonts w:cs="David"/>
                <w:sz w:val="26"/>
                <w:szCs w:val="26"/>
                <w:rtl/>
              </w:rPr>
              <w:t xml:space="preserve"> (1) ו-(2) רשאי בית המשפט להתיר פרסום כאמור במקרים חריגים, אם מצא כי יש להעדיף את העניין הציבורי שבפרסום על פני הנזק שעלול להיגרם לנאשם או לנתבע עקב הפרסום." </w:t>
            </w:r>
          </w:p>
          <w:p w:rsidR="00000000" w:rsidRDefault="00494179">
            <w:pPr>
              <w:spacing w:line="360" w:lineRule="auto"/>
              <w:jc w:val="both"/>
              <w:rPr>
                <w:rFonts w:cs="David"/>
                <w:sz w:val="26"/>
                <w:szCs w:val="26"/>
              </w:rPr>
            </w:pPr>
          </w:p>
        </w:tc>
      </w:tr>
      <w:tr w:rsidR="00000000">
        <w:tblPrEx>
          <w:tblCellMar>
            <w:top w:w="0" w:type="dxa"/>
            <w:bottom w:w="0" w:type="dxa"/>
          </w:tblCellMar>
        </w:tblPrEx>
        <w:trPr>
          <w:cantSplit/>
        </w:trPr>
        <w:tc>
          <w:tcPr>
            <w:tcW w:w="1166" w:type="dxa"/>
            <w:tcBorders>
              <w:top w:val="nil"/>
              <w:left w:val="nil"/>
              <w:bottom w:val="nil"/>
              <w:right w:val="nil"/>
            </w:tcBorders>
          </w:tcPr>
          <w:p w:rsidR="00000000" w:rsidRDefault="00494179">
            <w:pPr>
              <w:spacing w:after="120"/>
              <w:rPr>
                <w:rFonts w:cs="David"/>
                <w:sz w:val="26"/>
                <w:szCs w:val="26"/>
                <w:rtl/>
              </w:rPr>
            </w:pPr>
            <w:r>
              <w:rPr>
                <w:rFonts w:cs="David"/>
                <w:sz w:val="26"/>
                <w:szCs w:val="26"/>
                <w:rtl/>
              </w:rPr>
              <w:t>תחולה</w:t>
            </w:r>
          </w:p>
        </w:tc>
        <w:tc>
          <w:tcPr>
            <w:tcW w:w="357" w:type="dxa"/>
            <w:tcBorders>
              <w:top w:val="nil"/>
              <w:left w:val="nil"/>
              <w:bottom w:val="nil"/>
              <w:right w:val="nil"/>
            </w:tcBorders>
          </w:tcPr>
          <w:p w:rsidR="00000000" w:rsidRDefault="00494179">
            <w:pPr>
              <w:spacing w:after="120" w:line="360" w:lineRule="auto"/>
              <w:rPr>
                <w:rFonts w:cs="David"/>
                <w:sz w:val="26"/>
                <w:szCs w:val="26"/>
                <w:rtl/>
              </w:rPr>
            </w:pPr>
            <w:r>
              <w:rPr>
                <w:rFonts w:cs="David"/>
                <w:sz w:val="26"/>
                <w:szCs w:val="26"/>
                <w:rtl/>
              </w:rPr>
              <w:t>2.</w:t>
            </w:r>
          </w:p>
        </w:tc>
        <w:tc>
          <w:tcPr>
            <w:tcW w:w="6780" w:type="dxa"/>
            <w:gridSpan w:val="5"/>
            <w:tcBorders>
              <w:top w:val="nil"/>
              <w:left w:val="nil"/>
              <w:bottom w:val="nil"/>
              <w:right w:val="nil"/>
            </w:tcBorders>
          </w:tcPr>
          <w:p w:rsidR="00000000" w:rsidRDefault="00494179">
            <w:pPr>
              <w:spacing w:line="360" w:lineRule="auto"/>
              <w:jc w:val="both"/>
              <w:rPr>
                <w:rFonts w:cs="David"/>
                <w:sz w:val="26"/>
                <w:szCs w:val="26"/>
                <w:rtl/>
              </w:rPr>
            </w:pPr>
            <w:r>
              <w:rPr>
                <w:rFonts w:cs="David"/>
                <w:sz w:val="26"/>
                <w:szCs w:val="26"/>
                <w:rtl/>
              </w:rPr>
              <w:t xml:space="preserve">חוק זה יחול על חקירות וכתבי אישום שנפתחו או הוגשו לאחר פרסום החוק. </w:t>
            </w:r>
          </w:p>
        </w:tc>
      </w:tr>
    </w:tbl>
    <w:p w:rsidR="00000000" w:rsidRDefault="00494179">
      <w:pPr>
        <w:rPr>
          <w:rFonts w:cs="David"/>
          <w:sz w:val="26"/>
          <w:szCs w:val="26"/>
          <w:rtl/>
        </w:rPr>
      </w:pPr>
    </w:p>
    <w:p w:rsidR="00000000" w:rsidRDefault="00494179">
      <w:pPr>
        <w:pStyle w:val="1"/>
        <w:rPr>
          <w:rFonts w:cs="David"/>
          <w:rtl/>
        </w:rPr>
      </w:pPr>
      <w:r>
        <w:rPr>
          <w:rFonts w:cs="David"/>
          <w:rtl/>
        </w:rPr>
        <w:t>דברי - הסבר</w:t>
      </w:r>
    </w:p>
    <w:p w:rsidR="00000000" w:rsidRDefault="00494179">
      <w:pPr>
        <w:rPr>
          <w:rtl/>
        </w:rPr>
      </w:pPr>
    </w:p>
    <w:p w:rsidR="00000000" w:rsidRDefault="00494179">
      <w:pPr>
        <w:spacing w:line="360" w:lineRule="auto"/>
        <w:ind w:left="26"/>
        <w:jc w:val="both"/>
        <w:rPr>
          <w:rFonts w:cs="David"/>
          <w:sz w:val="26"/>
          <w:szCs w:val="26"/>
          <w:rtl/>
        </w:rPr>
      </w:pPr>
      <w:r>
        <w:rPr>
          <w:rFonts w:cs="David"/>
          <w:sz w:val="26"/>
          <w:szCs w:val="26"/>
          <w:rtl/>
        </w:rPr>
        <w:t>אין</w:t>
      </w:r>
      <w:r>
        <w:rPr>
          <w:rFonts w:cs="David"/>
          <w:sz w:val="26"/>
          <w:szCs w:val="26"/>
          <w:rtl/>
        </w:rPr>
        <w:t xml:space="preserve"> חולק בדבר חשיבות עקרון פומביות הדיון. אולם, עקרון זה יש לאזן כנגד הפגיעה הגלומה בפרסום שלילי חד צדדי. </w:t>
      </w:r>
    </w:p>
    <w:p w:rsidR="00000000" w:rsidRDefault="00494179">
      <w:pPr>
        <w:spacing w:line="360" w:lineRule="auto"/>
        <w:ind w:left="26"/>
        <w:jc w:val="both"/>
        <w:rPr>
          <w:rFonts w:cs="David"/>
          <w:sz w:val="26"/>
          <w:szCs w:val="26"/>
          <w:rtl/>
        </w:rPr>
      </w:pPr>
      <w:r>
        <w:rPr>
          <w:rFonts w:cs="David"/>
          <w:sz w:val="26"/>
          <w:szCs w:val="26"/>
          <w:rtl/>
        </w:rPr>
        <w:t xml:space="preserve">בשנים האחרונות הולכת וגוברת תופעה לפיה תובע מעביר את כתב התביעה לתקשורת, מיד עם הגשת התביעה. בנוסף, לעתים מתפרסמת ידיעה אודות חשוד, טרם הגשת כתב האישום </w:t>
      </w:r>
      <w:r>
        <w:rPr>
          <w:rFonts w:cs="David"/>
          <w:sz w:val="26"/>
          <w:szCs w:val="26"/>
          <w:rtl/>
        </w:rPr>
        <w:t>כנגדו. פרסום החקירה או התביעה טרם היתה בידי הנתבע או החשוד אפשרות להגיש תגובה, מביאה לפרסום לא מאוזן כנגד הנתבע או החשוד. לעיתים רבות, התובע מוסיף לתביעתו טיעונים מופרכים ו"ציוריים" אך ורק על מנת שאלה יופיעו בתקשורת ככלי לניגוח הנתבע. בנוסף, לא פעם קיים חו</w:t>
      </w:r>
      <w:r>
        <w:rPr>
          <w:rFonts w:cs="David"/>
          <w:sz w:val="26"/>
          <w:szCs w:val="26"/>
          <w:rtl/>
        </w:rPr>
        <w:t>סר איזון בין הסיקור הנרחב שמקבלת ידיעה בדבר חשדות או טענות כלפי אדם, בעוד שאלו טרם נתבררו, לבין האזכור הפעוט לו זוכות תוצאות הבירור.</w:t>
      </w:r>
    </w:p>
    <w:p w:rsidR="00000000" w:rsidRDefault="00494179">
      <w:pPr>
        <w:spacing w:line="360" w:lineRule="auto"/>
        <w:ind w:left="26"/>
        <w:jc w:val="both"/>
        <w:rPr>
          <w:rFonts w:cs="David"/>
          <w:sz w:val="26"/>
          <w:szCs w:val="26"/>
          <w:rtl/>
        </w:rPr>
      </w:pPr>
      <w:r>
        <w:rPr>
          <w:rFonts w:cs="David"/>
          <w:sz w:val="26"/>
          <w:szCs w:val="26"/>
          <w:rtl/>
        </w:rPr>
        <w:t>לאחרונה, התקבל תיקון בחוק בתי המשפט, המאפשר לבית המשפט לאסור פרסום שמו של חשוד שטרם הוגש כנגדו כתב אישום. מאחר שהפרסום עשוי</w:t>
      </w:r>
      <w:r>
        <w:rPr>
          <w:rFonts w:cs="David"/>
          <w:sz w:val="26"/>
          <w:szCs w:val="26"/>
          <w:rtl/>
        </w:rPr>
        <w:t xml:space="preserve"> להתבצע ללא ידיעה מוקדמת של החשוד, הרי שיש מקום לקבוע שהכלל הוא שאין לפרסם פרטים אודות החשוד טרם הוגש נגדו כתב אישום, אלא אם בית המשפט מצא כי יש להעדיף את העניין הציבורי שבפרסום על פני הנזק שעלול להיגרם לחשוד עקב הפרסום.</w:t>
      </w:r>
    </w:p>
    <w:p w:rsidR="00000000" w:rsidRDefault="00494179">
      <w:pPr>
        <w:spacing w:line="360" w:lineRule="auto"/>
        <w:ind w:left="26"/>
        <w:jc w:val="both"/>
        <w:rPr>
          <w:rFonts w:cs="David"/>
          <w:sz w:val="26"/>
          <w:szCs w:val="26"/>
          <w:rtl/>
        </w:rPr>
      </w:pPr>
      <w:r>
        <w:rPr>
          <w:rFonts w:cs="David"/>
          <w:sz w:val="26"/>
          <w:szCs w:val="26"/>
          <w:rtl/>
        </w:rPr>
        <w:t>בנוסף, מוצע לקבוע שלא ניתן יהיה לפר</w:t>
      </w:r>
      <w:r>
        <w:rPr>
          <w:rFonts w:cs="David"/>
          <w:sz w:val="26"/>
          <w:szCs w:val="26"/>
          <w:rtl/>
        </w:rPr>
        <w:t>סם פרטים בנוגע לכתב אישום או לתובענה אזרחית, בטרם תחלוף תקופה המאפשרת לנאשם או לנתבע להגיב על הטענות כנגדו. במקביל, מוצע להעניק לבית המשפט שיקול דעת לאפשר פרסום במקרים חריגים, אם בית המשפט סבור שהאינטרס הציבורי שבפרסום המיידי חשוב מהנזק שעלול להגרם עקב הפר</w:t>
      </w:r>
      <w:r>
        <w:rPr>
          <w:rFonts w:cs="David"/>
          <w:sz w:val="26"/>
          <w:szCs w:val="26"/>
          <w:rtl/>
        </w:rPr>
        <w:t>סום.</w:t>
      </w:r>
    </w:p>
    <w:p w:rsidR="00000000" w:rsidRDefault="00494179">
      <w:pPr>
        <w:ind w:left="26"/>
        <w:jc w:val="both"/>
        <w:rPr>
          <w:rFonts w:cs="David"/>
          <w:sz w:val="10"/>
          <w:szCs w:val="10"/>
          <w:rtl/>
        </w:rPr>
      </w:pPr>
    </w:p>
    <w:p w:rsidR="00000000" w:rsidRDefault="00494179">
      <w:pPr>
        <w:spacing w:line="360" w:lineRule="auto"/>
        <w:ind w:left="26"/>
        <w:jc w:val="both"/>
        <w:rPr>
          <w:rFonts w:cs="David"/>
          <w:sz w:val="26"/>
          <w:szCs w:val="26"/>
          <w:rtl/>
        </w:rPr>
      </w:pPr>
      <w:r>
        <w:rPr>
          <w:rFonts w:cs="David"/>
          <w:sz w:val="26"/>
          <w:szCs w:val="26"/>
          <w:rtl/>
        </w:rPr>
        <w:t>להלן נוסח סעיף 70 לחוק בתי המשפט, התשמ"ד – 1984, כפי שהוא היום:</w:t>
      </w:r>
    </w:p>
    <w:p w:rsidR="00000000" w:rsidRDefault="00494179">
      <w:pPr>
        <w:spacing w:line="360" w:lineRule="auto"/>
        <w:ind w:left="386" w:right="360"/>
        <w:jc w:val="both"/>
        <w:rPr>
          <w:rFonts w:cs="David"/>
          <w:sz w:val="26"/>
          <w:szCs w:val="26"/>
          <w:rtl/>
        </w:rPr>
      </w:pPr>
      <w:r>
        <w:rPr>
          <w:rFonts w:cs="David"/>
          <w:sz w:val="26"/>
          <w:szCs w:val="26"/>
          <w:rtl/>
        </w:rPr>
        <w:t xml:space="preserve">"70. איסור פרסומים </w:t>
      </w:r>
    </w:p>
    <w:p w:rsidR="00000000" w:rsidRDefault="00494179">
      <w:pPr>
        <w:spacing w:line="360" w:lineRule="auto"/>
        <w:ind w:left="386" w:right="360"/>
        <w:jc w:val="both"/>
        <w:rPr>
          <w:rFonts w:cs="David"/>
          <w:sz w:val="26"/>
          <w:szCs w:val="26"/>
          <w:rtl/>
        </w:rPr>
      </w:pPr>
      <w:r>
        <w:rPr>
          <w:rFonts w:cs="David"/>
          <w:sz w:val="26"/>
          <w:szCs w:val="26"/>
          <w:rtl/>
        </w:rPr>
        <w:t xml:space="preserve">(א) לא יפרסם אדם דבר על דיון שהתנהל בבית משפט בדלתיים סגורות אלא ברשות בית המשפט. </w:t>
      </w:r>
    </w:p>
    <w:p w:rsidR="00000000" w:rsidRDefault="00494179">
      <w:pPr>
        <w:spacing w:line="360" w:lineRule="auto"/>
        <w:ind w:left="386" w:right="360"/>
        <w:jc w:val="both"/>
        <w:rPr>
          <w:rFonts w:cs="David"/>
          <w:sz w:val="26"/>
          <w:szCs w:val="26"/>
          <w:rtl/>
        </w:rPr>
      </w:pPr>
      <w:r>
        <w:rPr>
          <w:rFonts w:cs="David"/>
          <w:sz w:val="26"/>
          <w:szCs w:val="26"/>
          <w:rtl/>
        </w:rPr>
        <w:t xml:space="preserve">(ב)  לא יצלם אדם באולם בית משפט ולא יפרסם תצלום כזה אלא ברשות בית המשפט. </w:t>
      </w:r>
    </w:p>
    <w:p w:rsidR="00000000" w:rsidRDefault="00494179">
      <w:pPr>
        <w:spacing w:line="360" w:lineRule="auto"/>
        <w:ind w:left="386" w:right="360"/>
        <w:jc w:val="both"/>
        <w:rPr>
          <w:rFonts w:cs="David"/>
          <w:sz w:val="26"/>
          <w:szCs w:val="26"/>
          <w:rtl/>
        </w:rPr>
      </w:pPr>
      <w:r>
        <w:rPr>
          <w:rFonts w:cs="David"/>
          <w:sz w:val="26"/>
          <w:szCs w:val="26"/>
          <w:rtl/>
        </w:rPr>
        <w:t xml:space="preserve">(ג)   לא </w:t>
      </w:r>
      <w:r>
        <w:rPr>
          <w:rFonts w:cs="David"/>
          <w:sz w:val="26"/>
          <w:szCs w:val="26"/>
          <w:rtl/>
        </w:rPr>
        <w:t>יפרסם אדם, בלי רשות בית המשפט, שם קטין שלא מלאו לו שמונה עשרה שנים והוא נאשם או עד במשפט פלילי, או מתלונן או ניזוק במשפט בשל עבירה לפי סעיפים 345 עד 358, סעיף 360 וסעיפים 208 עד 214 לחוק העונשין, התשל"ז-1977, ולא את תמונתו, מענו או פרטים אחרים העשויים להבי</w:t>
      </w:r>
      <w:r>
        <w:rPr>
          <w:rFonts w:cs="David"/>
          <w:sz w:val="26"/>
          <w:szCs w:val="26"/>
          <w:rtl/>
        </w:rPr>
        <w:t xml:space="preserve">א לזיהויו של הקטין. </w:t>
      </w:r>
    </w:p>
    <w:p w:rsidR="00000000" w:rsidRDefault="00494179">
      <w:pPr>
        <w:spacing w:line="360" w:lineRule="auto"/>
        <w:ind w:left="386" w:right="360"/>
        <w:jc w:val="both"/>
        <w:rPr>
          <w:rFonts w:cs="David"/>
          <w:sz w:val="26"/>
          <w:szCs w:val="26"/>
          <w:rtl/>
        </w:rPr>
      </w:pPr>
      <w:r>
        <w:rPr>
          <w:rFonts w:cs="David"/>
          <w:sz w:val="26"/>
          <w:szCs w:val="26"/>
          <w:rtl/>
        </w:rPr>
        <w:t xml:space="preserve">(ד)   בית משפט רשאי לאסור כל פרסום בקשר לדיוני בית המשפט, במידה שהוא רואה צורך בכך לשם הגנה על בטחונו של בעל דין, עד או אדם אחר ששמו הוזכר בדיון או לשם מניעת פגיעה חמורה בפרטיות של אחד מהם או לשם מניעת פגיעה בפרטיותו של אדם עם מוגבלות </w:t>
      </w:r>
      <w:r>
        <w:rPr>
          <w:rFonts w:cs="David"/>
          <w:sz w:val="26"/>
          <w:szCs w:val="26"/>
          <w:rtl/>
        </w:rPr>
        <w:t xml:space="preserve">שכלית או של אדם עם מוגבלות נפשית, כהגדרתם בחוק הליכי חקירה והעדה של אנשים עם מוגבלות, של אחד מהם. </w:t>
      </w:r>
    </w:p>
    <w:p w:rsidR="00000000" w:rsidRDefault="00494179">
      <w:pPr>
        <w:spacing w:line="360" w:lineRule="auto"/>
        <w:ind w:left="386" w:right="360"/>
        <w:jc w:val="both"/>
        <w:rPr>
          <w:rFonts w:cs="David"/>
          <w:sz w:val="26"/>
          <w:szCs w:val="26"/>
          <w:rtl/>
        </w:rPr>
      </w:pPr>
      <w:r>
        <w:rPr>
          <w:rFonts w:cs="David"/>
          <w:sz w:val="26"/>
          <w:szCs w:val="26"/>
          <w:rtl/>
        </w:rPr>
        <w:t xml:space="preserve">(ה)  בית משפט רשאי לאסור פרסום שמו של חשוד שטרם הוגש נגדו כתב אישום, או פרט אחר מפרטי החקירה, אם הדבר עלול לפגוע בחקירה שעל פי דין. </w:t>
      </w:r>
    </w:p>
    <w:p w:rsidR="00000000" w:rsidRDefault="00494179">
      <w:pPr>
        <w:spacing w:line="360" w:lineRule="auto"/>
        <w:ind w:left="386" w:right="360"/>
        <w:jc w:val="both"/>
        <w:rPr>
          <w:rFonts w:cs="David"/>
          <w:sz w:val="26"/>
          <w:szCs w:val="26"/>
          <w:rtl/>
        </w:rPr>
      </w:pPr>
      <w:r>
        <w:rPr>
          <w:rFonts w:cs="David"/>
          <w:sz w:val="26"/>
          <w:szCs w:val="26"/>
          <w:rtl/>
        </w:rPr>
        <w:t>(ה1) (1) בית משפט רשאי ל</w:t>
      </w:r>
      <w:r>
        <w:rPr>
          <w:rFonts w:cs="David"/>
          <w:sz w:val="26"/>
          <w:szCs w:val="26"/>
          <w:rtl/>
        </w:rPr>
        <w:t xml:space="preserve">אסור פרסום שמו של חשוד שטרם הוגש נגדו כתב אישום או פרט אחר מפרטי החקירה, אם ראה כי הדבר עלול לגרום לחשוד נזק חמור ובית המשפט סבר כי יש להעדיף את מניעת הנזק על פני הענין הציבורי שבפרסום. </w:t>
      </w:r>
    </w:p>
    <w:p w:rsidR="00000000" w:rsidRDefault="00494179">
      <w:pPr>
        <w:spacing w:line="360" w:lineRule="auto"/>
        <w:ind w:left="386" w:right="360"/>
        <w:jc w:val="both"/>
        <w:rPr>
          <w:rFonts w:cs="David"/>
          <w:sz w:val="26"/>
          <w:szCs w:val="26"/>
          <w:rtl/>
        </w:rPr>
      </w:pPr>
      <w:r>
        <w:rPr>
          <w:rFonts w:cs="David"/>
          <w:sz w:val="26"/>
          <w:szCs w:val="26"/>
          <w:rtl/>
        </w:rPr>
        <w:t>(2) זכותו של חשוד לבקש מבית המשפט לאסור פרסום שמו לפי הוראות סעיף קטן</w:t>
      </w:r>
      <w:r>
        <w:rPr>
          <w:rFonts w:cs="David"/>
          <w:sz w:val="26"/>
          <w:szCs w:val="26"/>
          <w:rtl/>
        </w:rPr>
        <w:t xml:space="preserve"> זה תובא לידיעתו בדרך שתיקבע בתקנות שיתקין שר המשפטים, בהתייעצות עם השר לביטחון הפנים ובאישור ועדת החוקה חוק ומשפט של הכנסת. </w:t>
      </w:r>
    </w:p>
    <w:p w:rsidR="00000000" w:rsidRDefault="00494179">
      <w:pPr>
        <w:spacing w:line="360" w:lineRule="auto"/>
        <w:ind w:left="386" w:right="360"/>
        <w:jc w:val="both"/>
        <w:rPr>
          <w:rFonts w:cs="David"/>
          <w:sz w:val="26"/>
          <w:szCs w:val="26"/>
          <w:rtl/>
        </w:rPr>
      </w:pPr>
      <w:r>
        <w:rPr>
          <w:rFonts w:cs="David"/>
          <w:sz w:val="26"/>
          <w:szCs w:val="26"/>
          <w:rtl/>
        </w:rPr>
        <w:t xml:space="preserve">(3) שר המשפטים יקבע, באישור ועדת החוקה חוק ומשפט של הכנסת, טופס להגשת בקשה לבית המשפט לאסור פרסום שמו של חשוד לפי הוראות סעיף קטן </w:t>
      </w:r>
      <w:r>
        <w:rPr>
          <w:rFonts w:cs="David"/>
          <w:sz w:val="26"/>
          <w:szCs w:val="26"/>
          <w:rtl/>
        </w:rPr>
        <w:t xml:space="preserve">זה. </w:t>
      </w:r>
    </w:p>
    <w:p w:rsidR="00000000" w:rsidRDefault="00494179">
      <w:pPr>
        <w:spacing w:line="360" w:lineRule="auto"/>
        <w:ind w:left="386" w:right="360"/>
        <w:jc w:val="both"/>
        <w:rPr>
          <w:rFonts w:cs="David"/>
          <w:sz w:val="26"/>
          <w:szCs w:val="26"/>
          <w:rtl/>
        </w:rPr>
      </w:pPr>
      <w:r>
        <w:rPr>
          <w:rFonts w:cs="David"/>
          <w:sz w:val="26"/>
          <w:szCs w:val="26"/>
          <w:rtl/>
        </w:rPr>
        <w:t xml:space="preserve">(ה2) לענין סעיף זה - </w:t>
      </w:r>
    </w:p>
    <w:p w:rsidR="00000000" w:rsidRDefault="00494179">
      <w:pPr>
        <w:spacing w:line="360" w:lineRule="auto"/>
        <w:ind w:left="386" w:right="360"/>
        <w:jc w:val="both"/>
        <w:rPr>
          <w:rFonts w:cs="David"/>
          <w:sz w:val="26"/>
          <w:szCs w:val="26"/>
          <w:rtl/>
        </w:rPr>
      </w:pPr>
      <w:r>
        <w:rPr>
          <w:rFonts w:cs="David"/>
          <w:sz w:val="26"/>
          <w:szCs w:val="26"/>
          <w:rtl/>
        </w:rPr>
        <w:t xml:space="preserve">"חשוד" - מי שנפתחה נגדו חקירה פלילית; </w:t>
      </w:r>
    </w:p>
    <w:p w:rsidR="00000000" w:rsidRDefault="00494179">
      <w:pPr>
        <w:spacing w:line="360" w:lineRule="auto"/>
        <w:ind w:left="386" w:right="360"/>
        <w:jc w:val="both"/>
        <w:rPr>
          <w:rFonts w:cs="David"/>
          <w:sz w:val="26"/>
          <w:szCs w:val="26"/>
          <w:rtl/>
        </w:rPr>
      </w:pPr>
      <w:r>
        <w:rPr>
          <w:rFonts w:cs="David"/>
          <w:sz w:val="26"/>
          <w:szCs w:val="26"/>
          <w:rtl/>
        </w:rPr>
        <w:t xml:space="preserve">"שם של חשוד" - לרבות כל פרט אחר שיש בו כדי לזהות את החשוד. </w:t>
      </w:r>
    </w:p>
    <w:p w:rsidR="00000000" w:rsidRDefault="00494179">
      <w:pPr>
        <w:spacing w:line="360" w:lineRule="auto"/>
        <w:ind w:left="386" w:right="360"/>
        <w:jc w:val="both"/>
        <w:rPr>
          <w:rFonts w:cs="David"/>
          <w:sz w:val="26"/>
          <w:szCs w:val="26"/>
          <w:rtl/>
        </w:rPr>
      </w:pPr>
      <w:r>
        <w:rPr>
          <w:rFonts w:cs="David"/>
          <w:sz w:val="26"/>
          <w:szCs w:val="26"/>
          <w:rtl/>
        </w:rPr>
        <w:t>(ו) העובר על הוראה מהוראות סעיף זה, דינו - מאסר ששה חדשים."</w:t>
      </w:r>
    </w:p>
    <w:p w:rsidR="00000000" w:rsidRDefault="00494179">
      <w:pPr>
        <w:spacing w:line="360" w:lineRule="auto"/>
        <w:ind w:left="386" w:right="360"/>
        <w:jc w:val="both"/>
        <w:rPr>
          <w:rFonts w:cs="David"/>
          <w:sz w:val="26"/>
          <w:szCs w:val="26"/>
          <w:rtl/>
        </w:rPr>
      </w:pPr>
      <w:r>
        <w:rPr>
          <w:rFonts w:cs="David"/>
          <w:sz w:val="26"/>
          <w:szCs w:val="26"/>
          <w:rtl/>
        </w:rPr>
        <w:t>------------------</w:t>
      </w:r>
    </w:p>
    <w:p w:rsidR="00000000" w:rsidRDefault="00494179">
      <w:pPr>
        <w:spacing w:line="360" w:lineRule="auto"/>
        <w:ind w:left="386" w:right="360"/>
        <w:jc w:val="both"/>
        <w:rPr>
          <w:rFonts w:cs="David"/>
          <w:sz w:val="26"/>
          <w:szCs w:val="26"/>
          <w:rtl/>
        </w:rPr>
      </w:pPr>
      <w:r>
        <w:rPr>
          <w:rFonts w:cs="David"/>
          <w:sz w:val="26"/>
          <w:szCs w:val="26"/>
          <w:rtl/>
        </w:rPr>
        <w:t>הוגשה ליו"ר הכנסת והסגנים</w:t>
      </w:r>
    </w:p>
    <w:p w:rsidR="00000000" w:rsidRDefault="00494179">
      <w:pPr>
        <w:spacing w:line="360" w:lineRule="auto"/>
        <w:ind w:left="386" w:right="360"/>
        <w:jc w:val="both"/>
        <w:rPr>
          <w:rFonts w:cs="David"/>
          <w:sz w:val="26"/>
          <w:szCs w:val="26"/>
          <w:rtl/>
        </w:rPr>
      </w:pPr>
      <w:r>
        <w:rPr>
          <w:rFonts w:cs="David"/>
          <w:sz w:val="26"/>
          <w:szCs w:val="26"/>
          <w:rtl/>
        </w:rPr>
        <w:t>והונחה על שולחן הכנסת ביו</w:t>
      </w:r>
      <w:r>
        <w:rPr>
          <w:rFonts w:cs="David"/>
          <w:sz w:val="26"/>
          <w:szCs w:val="26"/>
          <w:rtl/>
        </w:rPr>
        <w:t>ם</w:t>
      </w:r>
    </w:p>
    <w:p w:rsidR="00000000" w:rsidRDefault="00494179">
      <w:pPr>
        <w:spacing w:line="360" w:lineRule="auto"/>
        <w:ind w:left="386" w:right="360"/>
        <w:jc w:val="both"/>
        <w:rPr>
          <w:rFonts w:cs="David"/>
          <w:sz w:val="26"/>
          <w:szCs w:val="26"/>
          <w:rtl/>
        </w:rPr>
      </w:pPr>
      <w:r>
        <w:rPr>
          <w:rFonts w:cs="David"/>
          <w:sz w:val="26"/>
          <w:szCs w:val="26"/>
          <w:rtl/>
        </w:rPr>
        <w:t>א' בחשון התשס"ז - 23.10.06</w:t>
      </w:r>
    </w:p>
    <w:p w:rsidR="00000000" w:rsidRDefault="00494179">
      <w:pPr>
        <w:spacing w:line="360" w:lineRule="auto"/>
        <w:ind w:left="-720"/>
        <w:rPr>
          <w:sz w:val="26"/>
          <w:szCs w:val="26"/>
          <w:rtl/>
        </w:rPr>
      </w:pPr>
      <w:r>
        <w:rPr>
          <w:sz w:val="26"/>
          <w:szCs w:val="26"/>
          <w:rtl/>
        </w:rPr>
        <w:t xml:space="preserve"> </w:t>
      </w:r>
    </w:p>
    <w:p w:rsidR="00000000" w:rsidRDefault="00494179">
      <w:pPr>
        <w:rPr>
          <w:rtl/>
        </w:rPr>
      </w:pPr>
    </w:p>
    <w:p w:rsidR="00000000" w:rsidRDefault="00494179">
      <w:pPr>
        <w:jc w:val="both"/>
        <w:rPr>
          <w:rFonts w:cs="David"/>
          <w:sz w:val="26"/>
          <w:szCs w:val="26"/>
          <w:rtl/>
        </w:rPr>
      </w:pPr>
    </w:p>
    <w:p w:rsidR="00000000" w:rsidRDefault="00494179">
      <w:pPr>
        <w:pStyle w:val="a3"/>
        <w:jc w:val="left"/>
        <w:rPr>
          <w:rFonts w:cs="David"/>
          <w:u w:val="none"/>
        </w:rPr>
      </w:pPr>
    </w:p>
    <w:sectPr w:rsidR="00000000">
      <w:headerReference w:type="default" r:id="rId6"/>
      <w:footerReference w:type="default" r:id="rId7"/>
      <w:headerReference w:type="first" r:id="rId8"/>
      <w:footerReference w:type="firs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94179">
      <w:r>
        <w:separator/>
      </w:r>
    </w:p>
  </w:endnote>
  <w:endnote w:type="continuationSeparator" w:id="0">
    <w:p w:rsidR="00000000" w:rsidRDefault="00494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4179">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417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94179">
      <w:r>
        <w:separator/>
      </w:r>
    </w:p>
  </w:footnote>
  <w:footnote w:type="continuationSeparator" w:id="0">
    <w:p w:rsidR="00000000" w:rsidRDefault="00494179">
      <w:r>
        <w:continuationSeparator/>
      </w:r>
    </w:p>
  </w:footnote>
  <w:footnote w:id="1">
    <w:p w:rsidR="00000000" w:rsidRDefault="00494179">
      <w:pPr>
        <w:pStyle w:val="a8"/>
      </w:pPr>
      <w:r>
        <w:rPr>
          <w:rStyle w:val="aa"/>
          <w:rFonts w:cs="David"/>
        </w:rPr>
        <w:footnoteRef/>
      </w:r>
      <w:r>
        <w:rPr>
          <w:rFonts w:cs="David"/>
          <w:rtl/>
        </w:rPr>
        <w:t xml:space="preserve"> ס"ח התשמ"ד, עמ' 198.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4179">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4</w:t>
    </w:r>
    <w:r>
      <w:rPr>
        <w:rStyle w:val="a7"/>
      </w:rPr>
      <w:fldChar w:fldCharType="end"/>
    </w:r>
  </w:p>
  <w:p w:rsidR="00000000" w:rsidRDefault="0049417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417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4647îùä âôðé - àéñåø ôøñåí ùí çùåã.doc"/>
    <w:docVar w:name="StartMode" w:val="2"/>
  </w:docVars>
  <w:rsids>
    <w:rsidRoot w:val="00494179"/>
    <w:rsid w:val="00494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sz w:val="28"/>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ab">
    <w:name w:val="footer"/>
    <w:basedOn w:val="a"/>
    <w:link w:val="ac"/>
    <w:uiPriority w:val="99"/>
    <w:pPr>
      <w:tabs>
        <w:tab w:val="center" w:pos="4153"/>
        <w:tab w:val="right" w:pos="8306"/>
      </w:tabs>
    </w:pPr>
  </w:style>
  <w:style w:type="character" w:customStyle="1" w:styleId="ac">
    <w:name w:val="כותרת תחתונה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716</Words>
  <Characters>3583</Characters>
  <Application>Microsoft Office Word</Application>
  <DocSecurity>0</DocSecurity>
  <Lines>29</Lines>
  <Paragraphs>8</Paragraphs>
  <ScaleCrop>false</ScaleCrop>
  <Company>knesset</Company>
  <LinksUpToDate>false</LinksUpToDate>
  <CharactersWithSpaces>4291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בתי המשפט (תיקון), התשס"ז-2006</dc:title>
  <dc:subject/>
  <dc:creator>Knesset</dc:creator>
  <cp:keywords/>
  <dc:description/>
  <cp:lastModifiedBy>שמואל כוכב</cp:lastModifiedBy>
  <cp:revision>2</cp:revision>
  <cp:lastPrinted>2006-10-22T07:07:00Z</cp:lastPrinted>
  <dcterms:created xsi:type="dcterms:W3CDTF">2015-02-03T17:01:00Z</dcterms:created>
  <dcterms:modified xsi:type="dcterms:W3CDTF">2015-02-03T17:01:00Z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משה גפני</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05024806</vt:lpwstr>
  </property>
  <property fmtid="{D5CDD505-2E9C-101B-9397-08002B2CF9AE}" pid="10" name="מספר הצעת חוק למיון">
    <vt:lpwstr>1585</vt:lpwstr>
  </property>
  <property fmtid="{D5CDD505-2E9C-101B-9397-08002B2CF9AE}" pid="11" name="SDDocDate">
    <vt:lpwstr>2006-10-17T00:00:00Z</vt:lpwstr>
  </property>
  <property fmtid="{D5CDD505-2E9C-101B-9397-08002B2CF9AE}" pid="12" name="SDHebDate">
    <vt:lpwstr>כ"ה בתשרי, התשס"ז</vt:lpwstr>
  </property>
  <property fmtid="{D5CDD505-2E9C-101B-9397-08002B2CF9AE}" pid="13" name="SDCategories">
    <vt:lpwstr>:דף הבית:נושאים:חקיקה:נוסח לדיון מוקדם;#</vt:lpwstr>
  </property>
  <property fmtid="{D5CDD505-2E9C-101B-9397-08002B2CF9AE}" pid="14" name="תאריך הנחה">
    <vt:lpwstr/>
  </property>
  <property fmtid="{D5CDD505-2E9C-101B-9397-08002B2CF9AE}" pid="15" name="Vaada">
    <vt:lpwstr/>
  </property>
  <property fmtid="{D5CDD505-2E9C-101B-9397-08002B2CF9AE}" pid="16" name="HebrewDate">
    <vt:lpwstr/>
  </property>
  <property fmtid="{D5CDD505-2E9C-101B-9397-08002B2CF9AE}" pid="17" name="SDAuthor">
    <vt:lpwstr>עדי טייכר</vt:lpwstr>
  </property>
  <property fmtid="{D5CDD505-2E9C-101B-9397-08002B2CF9AE}" pid="18" name="MechaberMismach">
    <vt:lpwstr/>
  </property>
  <property fmtid="{D5CDD505-2E9C-101B-9397-08002B2CF9AE}" pid="19" name="MisHatzaatChok">
    <vt:lpwstr>פ/1585/17</vt:lpwstr>
  </property>
  <property fmtid="{D5CDD505-2E9C-101B-9397-08002B2CF9AE}" pid="20" name="SDRemark">
    <vt:lpwstr/>
  </property>
  <property fmtid="{D5CDD505-2E9C-101B-9397-08002B2CF9AE}" pid="21" name="SDOfflineTo">
    <vt:lpwstr/>
  </property>
  <property fmtid="{D5CDD505-2E9C-101B-9397-08002B2CF9AE}" pid="22" name="SDDistList">
    <vt:lpwstr/>
  </property>
  <property fmtid="{D5CDD505-2E9C-101B-9397-08002B2CF9AE}" pid="23" name="SDDistDate">
    <vt:lpwstr/>
  </property>
  <property fmtid="{D5CDD505-2E9C-101B-9397-08002B2CF9AE}" pid="24" name="SDOriginalID">
    <vt:lpwstr/>
  </property>
  <property fmtid="{D5CDD505-2E9C-101B-9397-08002B2CF9AE}" pid="25" name="SDSenderName">
    <vt:lpwstr/>
  </property>
  <property fmtid="{D5CDD505-2E9C-101B-9397-08002B2CF9AE}" pid="26" name="SDToList">
    <vt:lpwstr/>
  </property>
  <property fmtid="{D5CDD505-2E9C-101B-9397-08002B2CF9AE}" pid="27" name="SDCCList">
    <vt:lpwstr/>
  </property>
  <property fmtid="{D5CDD505-2E9C-101B-9397-08002B2CF9AE}" pid="28" name="STHasReminders">
    <vt:lpwstr>0</vt:lpwstr>
  </property>
  <property fmtid="{D5CDD505-2E9C-101B-9397-08002B2CF9AE}" pid="29" name="SDLink">
    <vt:lpwstr>, </vt:lpwstr>
  </property>
  <property fmtid="{D5CDD505-2E9C-101B-9397-08002B2CF9AE}" pid="30" name="Num_Gim1">
    <vt:lpwstr/>
  </property>
  <property fmtid="{D5CDD505-2E9C-101B-9397-08002B2CF9AE}" pid="31" name="NoseA">
    <vt:lpwstr/>
  </property>
  <property fmtid="{D5CDD505-2E9C-101B-9397-08002B2CF9AE}" pid="32" name="NoseB">
    <vt:lpwstr/>
  </property>
  <property fmtid="{D5CDD505-2E9C-101B-9397-08002B2CF9AE}" pid="33" name="knesset_number">
    <vt:lpwstr/>
  </property>
  <property fmtid="{D5CDD505-2E9C-101B-9397-08002B2CF9AE}" pid="34" name="ValidFrom">
    <vt:lpwstr/>
  </property>
  <property fmtid="{D5CDD505-2E9C-101B-9397-08002B2CF9AE}" pid="35" name="ValidUntill">
    <vt:lpwstr/>
  </property>
  <property fmtid="{D5CDD505-2E9C-101B-9397-08002B2CF9AE}" pid="36" name="To1">
    <vt:lpwstr/>
  </property>
  <property fmtid="{D5CDD505-2E9C-101B-9397-08002B2CF9AE}" pid="37" name="From">
    <vt:lpwstr/>
  </property>
  <property fmtid="{D5CDD505-2E9C-101B-9397-08002B2CF9AE}" pid="38" name="body">
    <vt:lpwstr/>
  </property>
</Properties>
</file>