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42201">
      <w:pPr>
        <w:pStyle w:val="a3"/>
        <w:jc w:val="left"/>
        <w:rPr>
          <w:rFonts w:cs="David"/>
          <w:b w:val="0"/>
          <w:bCs w:val="0"/>
          <w:sz w:val="24"/>
          <w:szCs w:val="24"/>
          <w:u w:val="none"/>
          <w:rtl/>
        </w:rPr>
      </w:pPr>
      <w:bookmarkStart w:id="0" w:name="_GoBack"/>
      <w:bookmarkEnd w:id="0"/>
    </w:p>
    <w:p w:rsidR="00000000" w:rsidRDefault="00A42201">
      <w:pPr>
        <w:rPr>
          <w:rFonts w:cs="David"/>
          <w:rtl/>
        </w:rPr>
      </w:pPr>
    </w:p>
    <w:p w:rsidR="00000000" w:rsidRDefault="00A42201">
      <w:pPr>
        <w:pStyle w:val="a3"/>
        <w:jc w:val="left"/>
        <w:rPr>
          <w:rFonts w:cs="David"/>
          <w:b w:val="0"/>
          <w:bCs w:val="0"/>
          <w:sz w:val="24"/>
          <w:szCs w:val="24"/>
          <w:u w:val="none"/>
          <w:rtl/>
        </w:rPr>
      </w:pPr>
    </w:p>
    <w:p w:rsidR="00000000" w:rsidRDefault="00A42201">
      <w:pPr>
        <w:pStyle w:val="a3"/>
        <w:rPr>
          <w:rFonts w:cs="David"/>
          <w:b w:val="0"/>
          <w:bCs w:val="0"/>
          <w:sz w:val="26"/>
          <w:szCs w:val="26"/>
          <w:u w:val="none"/>
          <w:rtl/>
        </w:rPr>
      </w:pPr>
      <w:r>
        <w:rPr>
          <w:rFonts w:cs="David"/>
          <w:u w:val="none"/>
          <w:rtl/>
        </w:rPr>
        <w:t>הכנסת השבע-עשרה</w:t>
      </w:r>
    </w:p>
    <w:p w:rsidR="00000000" w:rsidRDefault="00A42201">
      <w:pPr>
        <w:rPr>
          <w:rFonts w:cs="David"/>
          <w:sz w:val="26"/>
          <w:szCs w:val="26"/>
          <w:rtl/>
        </w:rPr>
      </w:pPr>
    </w:p>
    <w:p w:rsidR="00000000" w:rsidRDefault="00A42201">
      <w:pPr>
        <w:rPr>
          <w:rFonts w:cs="David"/>
          <w:sz w:val="26"/>
          <w:szCs w:val="26"/>
          <w:rtl/>
        </w:rPr>
      </w:pPr>
    </w:p>
    <w:tbl>
      <w:tblPr>
        <w:bidiVisual/>
        <w:tblW w:w="0" w:type="auto"/>
        <w:tblInd w:w="3910" w:type="dxa"/>
        <w:tblBorders>
          <w:bottom w:val="single" w:sz="4" w:space="0" w:color="auto"/>
        </w:tblBorders>
        <w:tblLook w:val="0000" w:firstRow="0" w:lastRow="0" w:firstColumn="0" w:lastColumn="0" w:noHBand="0" w:noVBand="0"/>
      </w:tblPr>
      <w:tblGrid>
        <w:gridCol w:w="2863"/>
        <w:gridCol w:w="1749"/>
      </w:tblGrid>
      <w:tr w:rsidR="00000000">
        <w:tblPrEx>
          <w:tblCellMar>
            <w:top w:w="0" w:type="dxa"/>
            <w:bottom w:w="0" w:type="dxa"/>
          </w:tblCellMar>
        </w:tblPrEx>
        <w:tc>
          <w:tcPr>
            <w:tcW w:w="2863" w:type="dxa"/>
            <w:tcBorders>
              <w:top w:val="nil"/>
              <w:left w:val="nil"/>
              <w:bottom w:val="single" w:sz="4" w:space="0" w:color="auto"/>
              <w:right w:val="nil"/>
            </w:tcBorders>
          </w:tcPr>
          <w:p w:rsidR="00000000" w:rsidRDefault="00A42201">
            <w:pPr>
              <w:spacing w:after="120"/>
              <w:rPr>
                <w:rFonts w:cs="David"/>
                <w:sz w:val="26"/>
                <w:szCs w:val="26"/>
              </w:rPr>
            </w:pPr>
            <w:r>
              <w:rPr>
                <w:rFonts w:cs="David"/>
                <w:sz w:val="26"/>
                <w:szCs w:val="26"/>
                <w:rtl/>
              </w:rPr>
              <w:t>הצעת חוק של חבר הכנסת</w:t>
            </w:r>
          </w:p>
        </w:tc>
        <w:tc>
          <w:tcPr>
            <w:tcW w:w="1749" w:type="dxa"/>
            <w:tcBorders>
              <w:top w:val="nil"/>
              <w:left w:val="nil"/>
              <w:bottom w:val="single" w:sz="4" w:space="0" w:color="auto"/>
              <w:right w:val="nil"/>
            </w:tcBorders>
          </w:tcPr>
          <w:p w:rsidR="00000000" w:rsidRDefault="00A42201">
            <w:pPr>
              <w:spacing w:after="120"/>
              <w:rPr>
                <w:rFonts w:cs="David"/>
                <w:b/>
                <w:bCs/>
                <w:sz w:val="26"/>
                <w:szCs w:val="26"/>
              </w:rPr>
            </w:pPr>
            <w:r>
              <w:rPr>
                <w:rFonts w:cs="David"/>
                <w:b/>
                <w:bCs/>
                <w:sz w:val="26"/>
                <w:szCs w:val="26"/>
                <w:rtl/>
              </w:rPr>
              <w:t>אביגדור יצחקי</w:t>
            </w:r>
          </w:p>
        </w:tc>
      </w:tr>
    </w:tbl>
    <w:p w:rsidR="00000000" w:rsidRDefault="00A42201">
      <w:pPr>
        <w:jc w:val="center"/>
        <w:rPr>
          <w:rFonts w:cs="David"/>
          <w:b/>
          <w:bCs/>
          <w:sz w:val="32"/>
          <w:szCs w:val="32"/>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rtl/>
        </w:rPr>
        <w:t>פ/1522/17</w:t>
      </w:r>
      <w:r>
        <w:rPr>
          <w:rFonts w:cs="David"/>
          <w:b/>
          <w:bCs/>
          <w:rtl/>
        </w:rPr>
        <w:tab/>
      </w:r>
      <w:r>
        <w:rPr>
          <w:rFonts w:cs="David"/>
          <w:b/>
          <w:bCs/>
          <w:sz w:val="26"/>
          <w:szCs w:val="26"/>
          <w:rtl/>
        </w:rPr>
        <w:tab/>
      </w:r>
      <w:r>
        <w:rPr>
          <w:rFonts w:cs="David"/>
          <w:b/>
          <w:bCs/>
          <w:sz w:val="26"/>
          <w:szCs w:val="26"/>
          <w:rtl/>
        </w:rPr>
        <w:tab/>
      </w:r>
    </w:p>
    <w:p w:rsidR="00000000" w:rsidRDefault="00A42201">
      <w:pPr>
        <w:jc w:val="center"/>
        <w:rPr>
          <w:rFonts w:cs="David"/>
          <w:sz w:val="32"/>
          <w:szCs w:val="32"/>
          <w:rtl/>
        </w:rPr>
      </w:pPr>
    </w:p>
    <w:p w:rsidR="00000000" w:rsidRDefault="00A42201">
      <w:pPr>
        <w:jc w:val="center"/>
        <w:rPr>
          <w:rFonts w:cs="David"/>
          <w:b/>
          <w:bCs/>
          <w:sz w:val="28"/>
          <w:szCs w:val="28"/>
          <w:rtl/>
        </w:rPr>
      </w:pPr>
      <w:r>
        <w:rPr>
          <w:rFonts w:cs="David"/>
          <w:b/>
          <w:bCs/>
          <w:sz w:val="28"/>
          <w:szCs w:val="28"/>
          <w:rtl/>
        </w:rPr>
        <w:t>הצעת חוק הרשויות המקומיות (מימון בחירות) (תיקון – ס</w:t>
      </w:r>
      <w:r>
        <w:rPr>
          <w:rFonts w:cs="David"/>
          <w:b/>
          <w:bCs/>
          <w:sz w:val="28"/>
          <w:szCs w:val="28"/>
          <w:rtl/>
        </w:rPr>
        <w:t>כום המימון למועמד לראש רשות), התשס"ו-2006</w:t>
      </w:r>
    </w:p>
    <w:p w:rsidR="00000000" w:rsidRDefault="00A42201">
      <w:pPr>
        <w:rPr>
          <w:rFonts w:cs="David"/>
          <w:b/>
          <w:bCs/>
          <w:sz w:val="28"/>
          <w:szCs w:val="28"/>
          <w:rtl/>
        </w:rPr>
      </w:pPr>
    </w:p>
    <w:p w:rsidR="00000000" w:rsidRDefault="00A42201">
      <w:pPr>
        <w:rPr>
          <w:rFonts w:cs="David"/>
          <w:sz w:val="26"/>
          <w:szCs w:val="26"/>
          <w:rtl/>
        </w:rPr>
      </w:pPr>
    </w:p>
    <w:tbl>
      <w:tblPr>
        <w:bidiVisual/>
        <w:tblW w:w="8903" w:type="dxa"/>
        <w:tblInd w:w="-483" w:type="dxa"/>
        <w:tblCellMar>
          <w:left w:w="57" w:type="dxa"/>
          <w:right w:w="57" w:type="dxa"/>
        </w:tblCellMar>
        <w:tblLook w:val="0000" w:firstRow="0" w:lastRow="0" w:firstColumn="0" w:lastColumn="0" w:noHBand="0" w:noVBand="0"/>
      </w:tblPr>
      <w:tblGrid>
        <w:gridCol w:w="1167"/>
        <w:gridCol w:w="549"/>
        <w:gridCol w:w="707"/>
        <w:gridCol w:w="720"/>
        <w:gridCol w:w="5760"/>
      </w:tblGrid>
      <w:tr w:rsidR="00000000">
        <w:tblPrEx>
          <w:tblCellMar>
            <w:top w:w="0" w:type="dxa"/>
            <w:bottom w:w="0" w:type="dxa"/>
          </w:tblCellMar>
        </w:tblPrEx>
        <w:trPr>
          <w:cantSplit/>
        </w:trPr>
        <w:tc>
          <w:tcPr>
            <w:tcW w:w="1167" w:type="dxa"/>
            <w:tcBorders>
              <w:top w:val="nil"/>
              <w:left w:val="nil"/>
              <w:bottom w:val="nil"/>
              <w:right w:val="nil"/>
            </w:tcBorders>
          </w:tcPr>
          <w:p w:rsidR="00000000" w:rsidRDefault="00A42201">
            <w:pPr>
              <w:spacing w:after="120"/>
              <w:rPr>
                <w:rFonts w:cs="David"/>
                <w:sz w:val="26"/>
                <w:szCs w:val="26"/>
              </w:rPr>
            </w:pPr>
            <w:r>
              <w:rPr>
                <w:rFonts w:cs="David"/>
                <w:sz w:val="26"/>
                <w:szCs w:val="26"/>
                <w:rtl/>
              </w:rPr>
              <w:t xml:space="preserve">תיקון סעיף 7 </w:t>
            </w:r>
          </w:p>
        </w:tc>
        <w:tc>
          <w:tcPr>
            <w:tcW w:w="549" w:type="dxa"/>
            <w:tcBorders>
              <w:top w:val="nil"/>
              <w:left w:val="nil"/>
              <w:bottom w:val="nil"/>
              <w:right w:val="nil"/>
            </w:tcBorders>
          </w:tcPr>
          <w:p w:rsidR="00000000" w:rsidRDefault="00A42201">
            <w:pPr>
              <w:spacing w:after="120" w:line="360" w:lineRule="auto"/>
              <w:jc w:val="both"/>
              <w:rPr>
                <w:rFonts w:cs="David"/>
                <w:sz w:val="26"/>
                <w:szCs w:val="26"/>
              </w:rPr>
            </w:pPr>
            <w:r>
              <w:rPr>
                <w:rFonts w:cs="David"/>
                <w:sz w:val="26"/>
                <w:szCs w:val="26"/>
                <w:rtl/>
              </w:rPr>
              <w:t>1.</w:t>
            </w:r>
          </w:p>
        </w:tc>
        <w:tc>
          <w:tcPr>
            <w:tcW w:w="7187" w:type="dxa"/>
            <w:gridSpan w:val="3"/>
            <w:tcBorders>
              <w:top w:val="nil"/>
              <w:left w:val="nil"/>
              <w:bottom w:val="nil"/>
              <w:right w:val="nil"/>
            </w:tcBorders>
          </w:tcPr>
          <w:p w:rsidR="00000000" w:rsidRDefault="00A42201">
            <w:pPr>
              <w:spacing w:after="120" w:line="360" w:lineRule="auto"/>
              <w:jc w:val="both"/>
              <w:rPr>
                <w:rFonts w:cs="David"/>
                <w:sz w:val="26"/>
                <w:szCs w:val="26"/>
              </w:rPr>
            </w:pPr>
            <w:r>
              <w:rPr>
                <w:rFonts w:cs="David"/>
                <w:sz w:val="26"/>
                <w:szCs w:val="26"/>
                <w:rtl/>
              </w:rPr>
              <w:t>בחוק הרשויות המקומיות (מימון בחירות), התשנ"ג-1993</w:t>
            </w:r>
            <w:r>
              <w:rPr>
                <w:rStyle w:val="aa"/>
                <w:rFonts w:cs="David"/>
                <w:sz w:val="26"/>
                <w:szCs w:val="26"/>
                <w:rtl/>
              </w:rPr>
              <w:footnoteReference w:id="1"/>
            </w:r>
            <w:r>
              <w:rPr>
                <w:rFonts w:cs="David"/>
                <w:sz w:val="26"/>
                <w:szCs w:val="26"/>
                <w:rtl/>
              </w:rPr>
              <w:t xml:space="preserve"> בסעיף 7(א) </w:t>
            </w:r>
          </w:p>
        </w:tc>
      </w:tr>
      <w:tr w:rsidR="00000000">
        <w:tblPrEx>
          <w:tblCellMar>
            <w:top w:w="0" w:type="dxa"/>
            <w:bottom w:w="0" w:type="dxa"/>
          </w:tblCellMar>
        </w:tblPrEx>
        <w:trPr>
          <w:cantSplit/>
        </w:trPr>
        <w:tc>
          <w:tcPr>
            <w:tcW w:w="1167" w:type="dxa"/>
            <w:tcBorders>
              <w:top w:val="nil"/>
              <w:left w:val="nil"/>
              <w:bottom w:val="nil"/>
              <w:right w:val="nil"/>
            </w:tcBorders>
          </w:tcPr>
          <w:p w:rsidR="00000000" w:rsidRDefault="00A42201">
            <w:pPr>
              <w:spacing w:after="120"/>
              <w:rPr>
                <w:rFonts w:cs="David"/>
                <w:sz w:val="26"/>
                <w:szCs w:val="26"/>
                <w:rtl/>
              </w:rPr>
            </w:pPr>
          </w:p>
        </w:tc>
        <w:tc>
          <w:tcPr>
            <w:tcW w:w="549" w:type="dxa"/>
            <w:tcBorders>
              <w:top w:val="nil"/>
              <w:left w:val="nil"/>
              <w:bottom w:val="nil"/>
              <w:right w:val="nil"/>
            </w:tcBorders>
          </w:tcPr>
          <w:p w:rsidR="00000000" w:rsidRDefault="00A42201">
            <w:pPr>
              <w:spacing w:after="120" w:line="360" w:lineRule="auto"/>
              <w:jc w:val="both"/>
              <w:rPr>
                <w:rFonts w:cs="David"/>
                <w:sz w:val="26"/>
                <w:szCs w:val="26"/>
                <w:rtl/>
              </w:rPr>
            </w:pPr>
          </w:p>
        </w:tc>
        <w:tc>
          <w:tcPr>
            <w:tcW w:w="707" w:type="dxa"/>
            <w:tcBorders>
              <w:top w:val="nil"/>
              <w:left w:val="nil"/>
              <w:bottom w:val="nil"/>
              <w:right w:val="nil"/>
            </w:tcBorders>
          </w:tcPr>
          <w:p w:rsidR="00000000" w:rsidRDefault="00A42201">
            <w:pPr>
              <w:spacing w:after="120" w:line="360" w:lineRule="auto"/>
              <w:jc w:val="both"/>
              <w:rPr>
                <w:rFonts w:cs="David"/>
                <w:sz w:val="26"/>
                <w:szCs w:val="26"/>
                <w:rtl/>
              </w:rPr>
            </w:pPr>
            <w:r>
              <w:rPr>
                <w:rFonts w:cs="David"/>
                <w:sz w:val="26"/>
                <w:szCs w:val="26"/>
                <w:rtl/>
              </w:rPr>
              <w:t>(1)</w:t>
            </w:r>
          </w:p>
        </w:tc>
        <w:tc>
          <w:tcPr>
            <w:tcW w:w="6480" w:type="dxa"/>
            <w:gridSpan w:val="2"/>
            <w:tcBorders>
              <w:top w:val="nil"/>
              <w:left w:val="nil"/>
              <w:bottom w:val="nil"/>
              <w:right w:val="nil"/>
            </w:tcBorders>
          </w:tcPr>
          <w:p w:rsidR="00000000" w:rsidRDefault="00A42201">
            <w:pPr>
              <w:spacing w:after="120" w:line="360" w:lineRule="auto"/>
              <w:jc w:val="both"/>
              <w:rPr>
                <w:rFonts w:cs="David"/>
                <w:sz w:val="26"/>
                <w:szCs w:val="26"/>
                <w:rtl/>
              </w:rPr>
            </w:pPr>
            <w:r>
              <w:rPr>
                <w:rFonts w:cs="David"/>
                <w:sz w:val="26"/>
                <w:szCs w:val="26"/>
                <w:rtl/>
              </w:rPr>
              <w:t>ברישה, במקום "אחד מאלה" ייכתב "בהתאם לפסקאות (1), (1א) ו-(2)";</w:t>
            </w:r>
          </w:p>
        </w:tc>
      </w:tr>
      <w:tr w:rsidR="00000000">
        <w:tblPrEx>
          <w:tblCellMar>
            <w:top w:w="0" w:type="dxa"/>
            <w:bottom w:w="0" w:type="dxa"/>
          </w:tblCellMar>
        </w:tblPrEx>
        <w:trPr>
          <w:cantSplit/>
        </w:trPr>
        <w:tc>
          <w:tcPr>
            <w:tcW w:w="1167" w:type="dxa"/>
            <w:tcBorders>
              <w:top w:val="nil"/>
              <w:left w:val="nil"/>
              <w:bottom w:val="nil"/>
              <w:right w:val="nil"/>
            </w:tcBorders>
          </w:tcPr>
          <w:p w:rsidR="00000000" w:rsidRDefault="00A42201">
            <w:pPr>
              <w:spacing w:after="120"/>
              <w:rPr>
                <w:rFonts w:cs="David"/>
                <w:sz w:val="26"/>
                <w:szCs w:val="26"/>
                <w:rtl/>
              </w:rPr>
            </w:pPr>
          </w:p>
        </w:tc>
        <w:tc>
          <w:tcPr>
            <w:tcW w:w="549" w:type="dxa"/>
            <w:tcBorders>
              <w:top w:val="nil"/>
              <w:left w:val="nil"/>
              <w:bottom w:val="nil"/>
              <w:right w:val="nil"/>
            </w:tcBorders>
          </w:tcPr>
          <w:p w:rsidR="00000000" w:rsidRDefault="00A42201">
            <w:pPr>
              <w:spacing w:after="120" w:line="360" w:lineRule="auto"/>
              <w:jc w:val="both"/>
              <w:rPr>
                <w:rFonts w:cs="David"/>
                <w:sz w:val="26"/>
                <w:szCs w:val="26"/>
                <w:rtl/>
              </w:rPr>
            </w:pPr>
          </w:p>
        </w:tc>
        <w:tc>
          <w:tcPr>
            <w:tcW w:w="707" w:type="dxa"/>
            <w:tcBorders>
              <w:top w:val="nil"/>
              <w:left w:val="nil"/>
              <w:bottom w:val="nil"/>
              <w:right w:val="nil"/>
            </w:tcBorders>
          </w:tcPr>
          <w:p w:rsidR="00000000" w:rsidRDefault="00A42201">
            <w:pPr>
              <w:spacing w:after="120" w:line="360" w:lineRule="auto"/>
              <w:jc w:val="both"/>
              <w:rPr>
                <w:rFonts w:cs="David"/>
                <w:sz w:val="26"/>
                <w:szCs w:val="26"/>
                <w:rtl/>
              </w:rPr>
            </w:pPr>
            <w:r>
              <w:rPr>
                <w:rFonts w:cs="David"/>
                <w:sz w:val="26"/>
                <w:szCs w:val="26"/>
                <w:rtl/>
              </w:rPr>
              <w:t>(2)</w:t>
            </w:r>
          </w:p>
        </w:tc>
        <w:tc>
          <w:tcPr>
            <w:tcW w:w="6480" w:type="dxa"/>
            <w:gridSpan w:val="2"/>
            <w:tcBorders>
              <w:top w:val="nil"/>
              <w:left w:val="nil"/>
              <w:bottom w:val="nil"/>
              <w:right w:val="nil"/>
            </w:tcBorders>
          </w:tcPr>
          <w:p w:rsidR="00000000" w:rsidRDefault="00A42201">
            <w:pPr>
              <w:spacing w:after="120" w:line="360" w:lineRule="auto"/>
              <w:jc w:val="both"/>
              <w:rPr>
                <w:rFonts w:cs="David"/>
                <w:sz w:val="26"/>
                <w:szCs w:val="26"/>
                <w:rtl/>
              </w:rPr>
            </w:pPr>
            <w:r>
              <w:rPr>
                <w:rFonts w:cs="David"/>
                <w:sz w:val="26"/>
                <w:szCs w:val="26"/>
                <w:rtl/>
              </w:rPr>
              <w:t>בפסקה (1), אחרי "סכום המימון" יב</w:t>
            </w:r>
            <w:r>
              <w:rPr>
                <w:rFonts w:cs="David"/>
                <w:sz w:val="26"/>
                <w:szCs w:val="26"/>
                <w:rtl/>
              </w:rPr>
              <w:t>וא "יהיה שני שלישים מסכום המימון";</w:t>
            </w:r>
          </w:p>
        </w:tc>
      </w:tr>
      <w:tr w:rsidR="00000000">
        <w:tblPrEx>
          <w:tblCellMar>
            <w:top w:w="0" w:type="dxa"/>
            <w:bottom w:w="0" w:type="dxa"/>
          </w:tblCellMar>
        </w:tblPrEx>
        <w:trPr>
          <w:cantSplit/>
        </w:trPr>
        <w:tc>
          <w:tcPr>
            <w:tcW w:w="1167" w:type="dxa"/>
            <w:tcBorders>
              <w:top w:val="nil"/>
              <w:left w:val="nil"/>
              <w:bottom w:val="nil"/>
              <w:right w:val="nil"/>
            </w:tcBorders>
          </w:tcPr>
          <w:p w:rsidR="00000000" w:rsidRDefault="00A42201">
            <w:pPr>
              <w:spacing w:after="120"/>
              <w:rPr>
                <w:rFonts w:cs="David"/>
                <w:sz w:val="26"/>
                <w:szCs w:val="26"/>
                <w:rtl/>
              </w:rPr>
            </w:pPr>
          </w:p>
        </w:tc>
        <w:tc>
          <w:tcPr>
            <w:tcW w:w="549" w:type="dxa"/>
            <w:tcBorders>
              <w:top w:val="nil"/>
              <w:left w:val="nil"/>
              <w:bottom w:val="nil"/>
              <w:right w:val="nil"/>
            </w:tcBorders>
          </w:tcPr>
          <w:p w:rsidR="00000000" w:rsidRDefault="00A42201">
            <w:pPr>
              <w:spacing w:after="120" w:line="360" w:lineRule="auto"/>
              <w:jc w:val="both"/>
              <w:rPr>
                <w:rFonts w:cs="David"/>
                <w:sz w:val="26"/>
                <w:szCs w:val="26"/>
                <w:rtl/>
              </w:rPr>
            </w:pPr>
          </w:p>
        </w:tc>
        <w:tc>
          <w:tcPr>
            <w:tcW w:w="707" w:type="dxa"/>
            <w:tcBorders>
              <w:top w:val="nil"/>
              <w:left w:val="nil"/>
              <w:bottom w:val="nil"/>
              <w:right w:val="nil"/>
            </w:tcBorders>
          </w:tcPr>
          <w:p w:rsidR="00000000" w:rsidRDefault="00A42201">
            <w:pPr>
              <w:spacing w:after="120" w:line="360" w:lineRule="auto"/>
              <w:jc w:val="both"/>
              <w:rPr>
                <w:rFonts w:cs="David"/>
                <w:sz w:val="26"/>
                <w:szCs w:val="26"/>
                <w:rtl/>
              </w:rPr>
            </w:pPr>
            <w:r>
              <w:rPr>
                <w:rFonts w:cs="David"/>
                <w:sz w:val="26"/>
                <w:szCs w:val="26"/>
                <w:rtl/>
              </w:rPr>
              <w:t>(3)</w:t>
            </w:r>
          </w:p>
        </w:tc>
        <w:tc>
          <w:tcPr>
            <w:tcW w:w="6480" w:type="dxa"/>
            <w:gridSpan w:val="2"/>
            <w:tcBorders>
              <w:top w:val="nil"/>
              <w:left w:val="nil"/>
              <w:bottom w:val="nil"/>
              <w:right w:val="nil"/>
            </w:tcBorders>
          </w:tcPr>
          <w:p w:rsidR="00000000" w:rsidRDefault="00A42201">
            <w:pPr>
              <w:spacing w:after="120" w:line="360" w:lineRule="auto"/>
              <w:jc w:val="both"/>
              <w:rPr>
                <w:rFonts w:cs="David"/>
                <w:sz w:val="26"/>
                <w:szCs w:val="26"/>
                <w:rtl/>
              </w:rPr>
            </w:pPr>
            <w:r>
              <w:rPr>
                <w:rFonts w:cs="David"/>
                <w:sz w:val="26"/>
                <w:szCs w:val="26"/>
                <w:rtl/>
              </w:rPr>
              <w:t>אחרי פסקה (1) יבוא:</w:t>
            </w:r>
          </w:p>
        </w:tc>
      </w:tr>
      <w:tr w:rsidR="00000000">
        <w:tblPrEx>
          <w:tblCellMar>
            <w:top w:w="0" w:type="dxa"/>
            <w:bottom w:w="0" w:type="dxa"/>
          </w:tblCellMar>
        </w:tblPrEx>
        <w:trPr>
          <w:cantSplit/>
        </w:trPr>
        <w:tc>
          <w:tcPr>
            <w:tcW w:w="1167" w:type="dxa"/>
            <w:tcBorders>
              <w:top w:val="nil"/>
              <w:left w:val="nil"/>
              <w:bottom w:val="nil"/>
              <w:right w:val="nil"/>
            </w:tcBorders>
          </w:tcPr>
          <w:p w:rsidR="00000000" w:rsidRDefault="00A42201">
            <w:pPr>
              <w:spacing w:after="120"/>
              <w:rPr>
                <w:rFonts w:cs="David"/>
                <w:sz w:val="26"/>
                <w:szCs w:val="26"/>
                <w:rtl/>
              </w:rPr>
            </w:pPr>
          </w:p>
        </w:tc>
        <w:tc>
          <w:tcPr>
            <w:tcW w:w="549" w:type="dxa"/>
            <w:tcBorders>
              <w:top w:val="nil"/>
              <w:left w:val="nil"/>
              <w:bottom w:val="nil"/>
              <w:right w:val="nil"/>
            </w:tcBorders>
          </w:tcPr>
          <w:p w:rsidR="00000000" w:rsidRDefault="00A42201">
            <w:pPr>
              <w:spacing w:after="120" w:line="360" w:lineRule="auto"/>
              <w:jc w:val="both"/>
              <w:rPr>
                <w:rFonts w:cs="David"/>
                <w:sz w:val="26"/>
                <w:szCs w:val="26"/>
                <w:rtl/>
              </w:rPr>
            </w:pPr>
          </w:p>
        </w:tc>
        <w:tc>
          <w:tcPr>
            <w:tcW w:w="707" w:type="dxa"/>
            <w:tcBorders>
              <w:top w:val="nil"/>
              <w:left w:val="nil"/>
              <w:bottom w:val="nil"/>
              <w:right w:val="nil"/>
            </w:tcBorders>
          </w:tcPr>
          <w:p w:rsidR="00000000" w:rsidRDefault="00A42201">
            <w:pPr>
              <w:spacing w:after="120" w:line="360" w:lineRule="auto"/>
              <w:jc w:val="both"/>
              <w:rPr>
                <w:rFonts w:cs="David"/>
                <w:sz w:val="26"/>
                <w:szCs w:val="26"/>
                <w:rtl/>
              </w:rPr>
            </w:pPr>
          </w:p>
        </w:tc>
        <w:tc>
          <w:tcPr>
            <w:tcW w:w="720" w:type="dxa"/>
            <w:tcBorders>
              <w:top w:val="nil"/>
              <w:left w:val="nil"/>
              <w:bottom w:val="nil"/>
              <w:right w:val="nil"/>
            </w:tcBorders>
          </w:tcPr>
          <w:p w:rsidR="00000000" w:rsidRDefault="00A42201">
            <w:pPr>
              <w:spacing w:after="120" w:line="360" w:lineRule="auto"/>
              <w:jc w:val="both"/>
              <w:rPr>
                <w:rFonts w:cs="David"/>
                <w:sz w:val="26"/>
                <w:szCs w:val="26"/>
                <w:rtl/>
              </w:rPr>
            </w:pPr>
            <w:r>
              <w:rPr>
                <w:rFonts w:cs="David"/>
                <w:sz w:val="26"/>
                <w:szCs w:val="26"/>
                <w:rtl/>
              </w:rPr>
              <w:t>"(1א)</w:t>
            </w:r>
          </w:p>
        </w:tc>
        <w:tc>
          <w:tcPr>
            <w:tcW w:w="5760" w:type="dxa"/>
            <w:tcBorders>
              <w:top w:val="nil"/>
              <w:left w:val="nil"/>
              <w:bottom w:val="nil"/>
              <w:right w:val="nil"/>
            </w:tcBorders>
          </w:tcPr>
          <w:p w:rsidR="00000000" w:rsidRDefault="00A42201">
            <w:pPr>
              <w:spacing w:after="120" w:line="360" w:lineRule="auto"/>
              <w:jc w:val="both"/>
              <w:rPr>
                <w:rFonts w:cs="David"/>
                <w:sz w:val="26"/>
                <w:szCs w:val="26"/>
                <w:rtl/>
              </w:rPr>
            </w:pPr>
            <w:r>
              <w:rPr>
                <w:rFonts w:cs="David"/>
                <w:sz w:val="26"/>
                <w:szCs w:val="26"/>
                <w:rtl/>
              </w:rPr>
              <w:t>שליש מסכום המימון לפי סעיף 6 יוענק לסיעה או רשימה אשר הציגה מועמד לראש הרשות, ובתנאי שמועמד זה זכה בלא פחות מ-15% מסך הקולות הכשרים של הבוחרים".</w:t>
            </w:r>
          </w:p>
        </w:tc>
      </w:tr>
    </w:tbl>
    <w:p w:rsidR="00000000" w:rsidRDefault="00A42201">
      <w:pPr>
        <w:rPr>
          <w:rFonts w:cs="David"/>
          <w:sz w:val="26"/>
          <w:szCs w:val="26"/>
          <w:rtl/>
        </w:rPr>
      </w:pPr>
    </w:p>
    <w:p w:rsidR="00000000" w:rsidRDefault="00A42201">
      <w:pPr>
        <w:jc w:val="center"/>
        <w:rPr>
          <w:rFonts w:cs="David"/>
          <w:sz w:val="26"/>
          <w:szCs w:val="26"/>
          <w:rtl/>
        </w:rPr>
      </w:pPr>
      <w:r>
        <w:rPr>
          <w:rFonts w:cs="David"/>
          <w:b/>
          <w:bCs/>
          <w:sz w:val="28"/>
          <w:szCs w:val="28"/>
          <w:u w:val="single"/>
          <w:rtl/>
        </w:rPr>
        <w:t>דברי - הסבר</w:t>
      </w:r>
    </w:p>
    <w:p w:rsidR="00000000" w:rsidRDefault="00A42201">
      <w:pPr>
        <w:jc w:val="both"/>
        <w:rPr>
          <w:rFonts w:cs="David"/>
          <w:sz w:val="26"/>
          <w:szCs w:val="26"/>
          <w:rtl/>
        </w:rPr>
      </w:pPr>
    </w:p>
    <w:p w:rsidR="00000000" w:rsidRDefault="00A42201">
      <w:pPr>
        <w:jc w:val="both"/>
        <w:rPr>
          <w:rFonts w:cs="David"/>
          <w:sz w:val="26"/>
          <w:szCs w:val="26"/>
          <w:rtl/>
        </w:rPr>
      </w:pPr>
      <w:r>
        <w:rPr>
          <w:rFonts w:cs="David"/>
          <w:sz w:val="26"/>
          <w:szCs w:val="26"/>
          <w:rtl/>
        </w:rPr>
        <w:t>במצב הקיים, הוצאות הבחיר</w:t>
      </w:r>
      <w:r>
        <w:rPr>
          <w:rFonts w:cs="David"/>
          <w:sz w:val="26"/>
          <w:szCs w:val="26"/>
          <w:rtl/>
        </w:rPr>
        <w:t xml:space="preserve">ות לרשויות המקומית ממומנות מאוצר המדינה ללא הבחנה בין רשימות אשר מציגות מועמד ובין רשימות אשר אינן מציגות מועמד לראש הרשות. מצב זה עלול ליצור מצב בו מועמד לראש רשות זקוק למספר רב של חברי מועצה על מנת לקבל סכום מימון משמעותי מהמדינה.    </w:t>
      </w:r>
    </w:p>
    <w:p w:rsidR="00000000" w:rsidRDefault="00A42201">
      <w:pPr>
        <w:jc w:val="both"/>
        <w:rPr>
          <w:rFonts w:cs="David"/>
          <w:sz w:val="26"/>
          <w:szCs w:val="26"/>
          <w:rtl/>
        </w:rPr>
      </w:pPr>
      <w:r>
        <w:rPr>
          <w:rFonts w:cs="David"/>
          <w:sz w:val="26"/>
          <w:szCs w:val="26"/>
          <w:rtl/>
        </w:rPr>
        <w:t xml:space="preserve">הצעת החוק באה לתקן </w:t>
      </w:r>
      <w:r>
        <w:rPr>
          <w:rFonts w:cs="David"/>
          <w:sz w:val="26"/>
          <w:szCs w:val="26"/>
          <w:rtl/>
        </w:rPr>
        <w:t xml:space="preserve">מצב זה על ידי הקצאת מימון מיוחד לסיעות אשר יציגו מועמד לראש רשות ובתנאי שמועמד זה יזכה בלפחות מ-15% מהקולות הכשרים. </w:t>
      </w:r>
    </w:p>
    <w:p w:rsidR="00000000" w:rsidRDefault="00A42201">
      <w:pPr>
        <w:jc w:val="both"/>
        <w:rPr>
          <w:rFonts w:cs="David"/>
          <w:sz w:val="26"/>
          <w:szCs w:val="26"/>
          <w:rtl/>
        </w:rPr>
      </w:pPr>
      <w:r>
        <w:rPr>
          <w:rFonts w:cs="David"/>
          <w:sz w:val="26"/>
          <w:szCs w:val="26"/>
          <w:rtl/>
        </w:rPr>
        <w:t>חלוקת המימון בצורה זו תאפשר למועמדים לראשי רשויות לקבל סכום מימון הוגן גם במידה ואין מאחוריהם רשימה שבה מספר רב של חברי מועצה.</w:t>
      </w:r>
    </w:p>
    <w:p w:rsidR="00000000" w:rsidRDefault="00A42201">
      <w:pPr>
        <w:jc w:val="both"/>
        <w:rPr>
          <w:rFonts w:cs="David"/>
          <w:sz w:val="26"/>
          <w:szCs w:val="26"/>
          <w:rtl/>
        </w:rPr>
      </w:pPr>
    </w:p>
    <w:p w:rsidR="00000000" w:rsidRDefault="00A42201">
      <w:pPr>
        <w:jc w:val="both"/>
        <w:rPr>
          <w:rFonts w:cs="David"/>
          <w:sz w:val="26"/>
          <w:szCs w:val="26"/>
          <w:rtl/>
        </w:rPr>
      </w:pPr>
      <w:r>
        <w:rPr>
          <w:rFonts w:cs="David"/>
          <w:sz w:val="26"/>
          <w:szCs w:val="26"/>
          <w:rtl/>
        </w:rPr>
        <w:t>הצעת חוק דו</w:t>
      </w:r>
      <w:r>
        <w:rPr>
          <w:rFonts w:cs="David"/>
          <w:sz w:val="26"/>
          <w:szCs w:val="26"/>
          <w:rtl/>
        </w:rPr>
        <w:t>מה בעיקרה הונחה על שולחן הכנסת השש-עשרה על ידי חבר הכנסת מוחמד ברכה וקבוצת חברי הכנסת (פ/2213); הצעת חוק דומה בעיקרה הונחה על שולחן הכנסת השבע-עשרה על ידי חבר הכנסת מוחמד ברכה וקבוצת חברי הכנסת (פ/254/17).</w:t>
      </w:r>
    </w:p>
    <w:p w:rsidR="00000000" w:rsidRDefault="00A42201">
      <w:pPr>
        <w:jc w:val="both"/>
        <w:rPr>
          <w:rFonts w:cs="David"/>
          <w:sz w:val="26"/>
          <w:szCs w:val="26"/>
          <w:rtl/>
        </w:rPr>
      </w:pPr>
    </w:p>
    <w:p w:rsidR="00000000" w:rsidRDefault="00A42201">
      <w:pPr>
        <w:jc w:val="both"/>
        <w:rPr>
          <w:rFonts w:cs="David"/>
          <w:sz w:val="26"/>
          <w:szCs w:val="26"/>
          <w:rtl/>
        </w:rPr>
      </w:pPr>
      <w:r>
        <w:rPr>
          <w:rFonts w:cs="David"/>
          <w:sz w:val="26"/>
          <w:szCs w:val="26"/>
          <w:rtl/>
        </w:rPr>
        <w:t>-------------------------------------</w:t>
      </w:r>
    </w:p>
    <w:p w:rsidR="00000000" w:rsidRDefault="00A42201">
      <w:pPr>
        <w:jc w:val="both"/>
        <w:rPr>
          <w:rFonts w:cs="David"/>
          <w:sz w:val="26"/>
          <w:szCs w:val="26"/>
          <w:rtl/>
        </w:rPr>
      </w:pPr>
      <w:r>
        <w:rPr>
          <w:rFonts w:cs="David"/>
          <w:sz w:val="26"/>
          <w:szCs w:val="26"/>
          <w:rtl/>
        </w:rPr>
        <w:t>הוגשה ליו"ר</w:t>
      </w:r>
      <w:r>
        <w:rPr>
          <w:rFonts w:cs="David"/>
          <w:sz w:val="26"/>
          <w:szCs w:val="26"/>
          <w:rtl/>
        </w:rPr>
        <w:t xml:space="preserve"> הכנסת והסגנים</w:t>
      </w:r>
    </w:p>
    <w:p w:rsidR="00000000" w:rsidRDefault="00A42201">
      <w:pPr>
        <w:jc w:val="both"/>
        <w:rPr>
          <w:rFonts w:cs="David"/>
          <w:sz w:val="26"/>
          <w:szCs w:val="26"/>
          <w:rtl/>
        </w:rPr>
      </w:pPr>
      <w:r>
        <w:rPr>
          <w:rFonts w:cs="David"/>
          <w:sz w:val="26"/>
          <w:szCs w:val="26"/>
          <w:rtl/>
        </w:rPr>
        <w:t>והונחה על שולחן הכנסת ביום</w:t>
      </w:r>
    </w:p>
    <w:p w:rsidR="00000000" w:rsidRDefault="00A42201">
      <w:pPr>
        <w:jc w:val="both"/>
        <w:rPr>
          <w:rFonts w:cs="David"/>
          <w:sz w:val="26"/>
          <w:szCs w:val="26"/>
          <w:rtl/>
        </w:rPr>
      </w:pPr>
      <w:r>
        <w:rPr>
          <w:rFonts w:cs="David"/>
          <w:sz w:val="26"/>
          <w:szCs w:val="26"/>
          <w:rtl/>
        </w:rPr>
        <w:t>כ"ג בתמוז התשס"ו – 19.7.06</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42201">
      <w:r>
        <w:separator/>
      </w:r>
    </w:p>
  </w:endnote>
  <w:endnote w:type="continuationSeparator" w:id="0">
    <w:p w:rsidR="00000000" w:rsidRDefault="00A42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42201">
      <w:r>
        <w:separator/>
      </w:r>
    </w:p>
  </w:footnote>
  <w:footnote w:type="continuationSeparator" w:id="0">
    <w:p w:rsidR="00000000" w:rsidRDefault="00A42201">
      <w:r>
        <w:continuationSeparator/>
      </w:r>
    </w:p>
  </w:footnote>
  <w:footnote w:id="1">
    <w:p w:rsidR="00000000" w:rsidRDefault="00A42201">
      <w:pPr>
        <w:pStyle w:val="a8"/>
      </w:pPr>
      <w:r>
        <w:rPr>
          <w:rStyle w:val="aa"/>
          <w:rFonts w:cs="David"/>
        </w:rPr>
        <w:footnoteRef/>
      </w:r>
      <w:r>
        <w:rPr>
          <w:rFonts w:cs="David"/>
          <w:rtl/>
        </w:rPr>
        <w:t xml:space="preserve"> ס"ח התשנ"ג, עמ' 146.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42201">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A4220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8"/>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44524øùåéåú î÷åîéåú - îéîåï áçéøåú - ñëåí äîéîåï ìîåòîã ìøàù øùåú.doc"/>
    <w:docVar w:name="StartMode" w:val="2"/>
  </w:docVars>
  <w:rsids>
    <w:rsidRoot w:val="00A42201"/>
    <w:rsid w:val="00A422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242</Words>
  <Characters>1215</Characters>
  <Application>Microsoft Office Word</Application>
  <DocSecurity>0</DocSecurity>
  <Lines>10</Lines>
  <Paragraphs>2</Paragraphs>
  <ScaleCrop>false</ScaleCrop>
  <Company>knesset</Company>
  <LinksUpToDate>false</LinksUpToDate>
  <CharactersWithSpaces>1455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(מימון בחירות) (תיקון - סכום המימון למועמד לראש רשות), התשס"ו-2006 </dc:title>
  <dc:subject/>
  <dc:creator>Knesset</dc:creator>
  <cp:keywords/>
  <dc:description/>
  <cp:lastModifiedBy>שמואל כוכב</cp:lastModifiedBy>
  <cp:revision>2</cp:revision>
  <cp:lastPrinted>2006-07-19T13:02:00Z</cp:lastPrinted>
  <dcterms:created xsi:type="dcterms:W3CDTF">2015-02-03T16:58:00Z</dcterms:created>
  <dcterms:modified xsi:type="dcterms:W3CDTF">2015-02-03T16:58:00Z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אביגדור יצחקי</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04075306</vt:lpwstr>
  </property>
  <property fmtid="{D5CDD505-2E9C-101B-9397-08002B2CF9AE}" pid="10" name="מספר הצעת חוק למיון">
    <vt:lpwstr>1522</vt:lpwstr>
  </property>
  <property fmtid="{D5CDD505-2E9C-101B-9397-08002B2CF9AE}" pid="11" name="SDDocDate">
    <vt:lpwstr>2006-07-19T00:00:00Z</vt:lpwstr>
  </property>
  <property fmtid="{D5CDD505-2E9C-101B-9397-08002B2CF9AE}" pid="12" name="SDHebDate">
    <vt:lpwstr>כ"ג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פ/1522/17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