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C0067">
      <w:pPr>
        <w:pStyle w:val="a3"/>
        <w:spacing w:line="360" w:lineRule="auto"/>
        <w:rPr>
          <w:rFonts w:cs="David"/>
          <w:u w:val="none"/>
          <w:rtl/>
        </w:rPr>
      </w:pPr>
      <w:bookmarkStart w:id="0" w:name="_GoBack"/>
      <w:bookmarkEnd w:id="0"/>
      <w:r>
        <w:rPr>
          <w:rFonts w:cs="David"/>
          <w:u w:val="none"/>
          <w:rtl/>
        </w:rPr>
        <w:t>הכנסת השבע-עשרה</w:t>
      </w:r>
    </w:p>
    <w:p w:rsidR="00000000" w:rsidRDefault="006C0067">
      <w:pPr>
        <w:tabs>
          <w:tab w:val="left" w:pos="2734"/>
        </w:tabs>
        <w:spacing w:line="360" w:lineRule="auto"/>
        <w:ind w:left="-9" w:firstLine="9"/>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248"/>
      </w:tblGrid>
      <w:tr w:rsidR="00000000">
        <w:tblPrEx>
          <w:tblCellMar>
            <w:top w:w="0" w:type="dxa"/>
            <w:bottom w:w="0" w:type="dxa"/>
          </w:tblCellMar>
        </w:tblPrEx>
        <w:trPr>
          <w:cantSplit/>
        </w:trPr>
        <w:tc>
          <w:tcPr>
            <w:tcW w:w="4248" w:type="dxa"/>
            <w:tcBorders>
              <w:top w:val="nil"/>
              <w:left w:val="nil"/>
              <w:bottom w:val="single" w:sz="4" w:space="0" w:color="auto"/>
              <w:right w:val="nil"/>
            </w:tcBorders>
          </w:tcPr>
          <w:p w:rsidR="00000000" w:rsidRDefault="006C0067">
            <w:pPr>
              <w:tabs>
                <w:tab w:val="left" w:pos="2770"/>
                <w:tab w:val="left" w:pos="6192"/>
              </w:tabs>
              <w:spacing w:after="120"/>
              <w:ind w:firstLine="11"/>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w:t>
            </w:r>
            <w:bookmarkStart w:id="1" w:name="MKsSingleOrMulti"/>
            <w:r>
              <w:rPr>
                <w:rFonts w:cs="David"/>
                <w:sz w:val="26"/>
                <w:szCs w:val="26"/>
                <w:rtl/>
              </w:rPr>
              <w:t>חברי הכנסת</w:t>
            </w:r>
            <w:bookmarkEnd w:id="1"/>
            <w:r>
              <w:rPr>
                <w:rFonts w:cs="David"/>
                <w:sz w:val="26"/>
                <w:szCs w:val="26"/>
                <w:rtl/>
              </w:rPr>
              <w:t xml:space="preserve"> </w:t>
            </w:r>
            <w:bookmarkStart w:id="2" w:name="MKs"/>
            <w:r>
              <w:rPr>
                <w:rFonts w:cs="David"/>
                <w:b/>
                <w:bCs/>
                <w:sz w:val="26"/>
                <w:szCs w:val="26"/>
                <w:rtl/>
              </w:rPr>
              <w:t>יוסי ביילין</w:t>
            </w:r>
          </w:p>
          <w:p w:rsidR="00000000" w:rsidRDefault="006C0067">
            <w:pPr>
              <w:tabs>
                <w:tab w:val="left" w:pos="2770"/>
                <w:tab w:val="left" w:pos="6192"/>
              </w:tabs>
              <w:spacing w:after="120"/>
              <w:ind w:left="2592" w:firstLine="11"/>
              <w:rPr>
                <w:rFonts w:cs="David"/>
                <w:sz w:val="26"/>
                <w:szCs w:val="26"/>
              </w:rPr>
            </w:pPr>
            <w:r>
              <w:rPr>
                <w:rFonts w:cs="David"/>
                <w:sz w:val="26"/>
                <w:szCs w:val="26"/>
                <w:rtl/>
              </w:rPr>
              <w:t>רן כהן</w:t>
            </w:r>
          </w:p>
          <w:p w:rsidR="00000000" w:rsidRDefault="006C0067">
            <w:pPr>
              <w:tabs>
                <w:tab w:val="left" w:pos="2770"/>
                <w:tab w:val="left" w:pos="6192"/>
              </w:tabs>
              <w:spacing w:after="120"/>
              <w:ind w:left="2592" w:firstLine="11"/>
              <w:rPr>
                <w:rFonts w:cs="David"/>
                <w:sz w:val="26"/>
                <w:szCs w:val="26"/>
              </w:rPr>
            </w:pPr>
            <w:r>
              <w:rPr>
                <w:rFonts w:cs="David"/>
                <w:sz w:val="26"/>
                <w:szCs w:val="26"/>
                <w:rtl/>
              </w:rPr>
              <w:t>אבשלום וילן</w:t>
            </w:r>
          </w:p>
          <w:p w:rsidR="00000000" w:rsidRDefault="006C0067">
            <w:pPr>
              <w:tabs>
                <w:tab w:val="left" w:pos="2770"/>
                <w:tab w:val="left" w:pos="6192"/>
              </w:tabs>
              <w:spacing w:after="120"/>
              <w:ind w:left="2592" w:firstLine="11"/>
              <w:rPr>
                <w:rFonts w:cs="David"/>
                <w:sz w:val="26"/>
                <w:szCs w:val="26"/>
              </w:rPr>
            </w:pPr>
            <w:r>
              <w:rPr>
                <w:rFonts w:cs="David"/>
                <w:sz w:val="26"/>
                <w:szCs w:val="26"/>
                <w:rtl/>
              </w:rPr>
              <w:t>חיים אורון</w:t>
            </w:r>
          </w:p>
          <w:p w:rsidR="00000000" w:rsidRDefault="006C0067">
            <w:pPr>
              <w:tabs>
                <w:tab w:val="left" w:pos="2770"/>
                <w:tab w:val="left" w:pos="6192"/>
              </w:tabs>
              <w:spacing w:after="120"/>
              <w:ind w:left="2592" w:firstLine="11"/>
              <w:rPr>
                <w:rFonts w:cs="David"/>
                <w:sz w:val="26"/>
                <w:szCs w:val="26"/>
              </w:rPr>
            </w:pPr>
            <w:r>
              <w:rPr>
                <w:rFonts w:cs="David"/>
                <w:sz w:val="26"/>
                <w:szCs w:val="26"/>
                <w:rtl/>
              </w:rPr>
              <w:t>שלמה ברזניץ</w:t>
            </w:r>
          </w:p>
          <w:p w:rsidR="00000000" w:rsidRDefault="006C0067">
            <w:pPr>
              <w:tabs>
                <w:tab w:val="left" w:pos="2770"/>
                <w:tab w:val="left" w:pos="6192"/>
              </w:tabs>
              <w:spacing w:after="120"/>
              <w:ind w:left="2592" w:firstLine="11"/>
              <w:rPr>
                <w:rFonts w:cs="David"/>
                <w:sz w:val="26"/>
                <w:szCs w:val="26"/>
              </w:rPr>
            </w:pPr>
            <w:r>
              <w:rPr>
                <w:rFonts w:cs="David"/>
                <w:sz w:val="26"/>
                <w:szCs w:val="26"/>
                <w:rtl/>
              </w:rPr>
              <w:t>אבישי ברוורמן</w:t>
            </w:r>
          </w:p>
          <w:p w:rsidR="00000000" w:rsidRDefault="006C0067">
            <w:pPr>
              <w:tabs>
                <w:tab w:val="left" w:pos="2770"/>
                <w:tab w:val="left" w:pos="6192"/>
              </w:tabs>
              <w:spacing w:after="120"/>
              <w:ind w:left="2592" w:firstLine="11"/>
              <w:rPr>
                <w:rFonts w:cs="David"/>
                <w:sz w:val="26"/>
                <w:szCs w:val="26"/>
              </w:rPr>
            </w:pPr>
            <w:r>
              <w:rPr>
                <w:rFonts w:cs="David"/>
                <w:sz w:val="26"/>
                <w:szCs w:val="26"/>
                <w:rtl/>
              </w:rPr>
              <w:t>חנא סוייד</w:t>
            </w:r>
          </w:p>
          <w:p w:rsidR="00000000" w:rsidRDefault="006C0067">
            <w:pPr>
              <w:tabs>
                <w:tab w:val="left" w:pos="2770"/>
                <w:tab w:val="left" w:pos="6192"/>
              </w:tabs>
              <w:spacing w:after="120"/>
              <w:ind w:left="2592" w:firstLine="11"/>
              <w:rPr>
                <w:rFonts w:cs="David"/>
                <w:sz w:val="26"/>
                <w:szCs w:val="26"/>
              </w:rPr>
            </w:pPr>
            <w:r>
              <w:rPr>
                <w:rFonts w:cs="David"/>
                <w:sz w:val="26"/>
                <w:szCs w:val="26"/>
                <w:rtl/>
              </w:rPr>
              <w:t>אר</w:t>
            </w:r>
            <w:r>
              <w:rPr>
                <w:rFonts w:cs="David"/>
                <w:sz w:val="26"/>
                <w:szCs w:val="26"/>
                <w:rtl/>
              </w:rPr>
              <w:t>יה אלדד</w:t>
            </w:r>
          </w:p>
          <w:p w:rsidR="00000000" w:rsidRDefault="006C0067">
            <w:pPr>
              <w:tabs>
                <w:tab w:val="left" w:pos="2770"/>
                <w:tab w:val="left" w:pos="6192"/>
              </w:tabs>
              <w:spacing w:after="120"/>
              <w:ind w:left="2592" w:firstLine="11"/>
              <w:rPr>
                <w:rFonts w:cs="David"/>
                <w:sz w:val="26"/>
                <w:szCs w:val="26"/>
              </w:rPr>
            </w:pPr>
            <w:r>
              <w:rPr>
                <w:rFonts w:cs="David"/>
                <w:sz w:val="26"/>
                <w:szCs w:val="26"/>
                <w:rtl/>
              </w:rPr>
              <w:t>ראובן ריבלין</w:t>
            </w:r>
            <w:bookmarkEnd w:id="2"/>
          </w:p>
        </w:tc>
      </w:tr>
    </w:tbl>
    <w:p w:rsidR="00000000" w:rsidRDefault="006C0067">
      <w:pPr>
        <w:spacing w:line="360" w:lineRule="auto"/>
        <w:ind w:left="5426"/>
        <w:rPr>
          <w:rFonts w:cs="David"/>
          <w:b/>
          <w:bCs/>
          <w:rtl/>
        </w:rPr>
      </w:pPr>
      <w:r>
        <w:rPr>
          <w:rFonts w:cs="David"/>
          <w:b/>
          <w:bCs/>
          <w:rtl/>
        </w:rPr>
        <w:t>פ/1380/17</w:t>
      </w:r>
    </w:p>
    <w:p w:rsidR="00000000" w:rsidRDefault="006C0067">
      <w:pPr>
        <w:spacing w:line="360" w:lineRule="auto"/>
        <w:jc w:val="center"/>
        <w:rPr>
          <w:rFonts w:cs="David"/>
          <w:b/>
          <w:bCs/>
          <w:sz w:val="28"/>
          <w:szCs w:val="28"/>
          <w:rtl/>
        </w:rPr>
      </w:pPr>
      <w:bookmarkStart w:id="3" w:name="Title"/>
    </w:p>
    <w:p w:rsidR="00000000" w:rsidRDefault="006C0067">
      <w:pPr>
        <w:spacing w:line="360" w:lineRule="auto"/>
        <w:jc w:val="center"/>
        <w:rPr>
          <w:rFonts w:cs="David"/>
          <w:b/>
          <w:bCs/>
          <w:sz w:val="28"/>
          <w:szCs w:val="28"/>
          <w:rtl/>
        </w:rPr>
      </w:pPr>
      <w:r>
        <w:rPr>
          <w:rFonts w:cs="David"/>
          <w:b/>
          <w:bCs/>
          <w:sz w:val="28"/>
          <w:szCs w:val="28"/>
          <w:rtl/>
        </w:rPr>
        <w:t>הצעת חוק המפלגות (תיקון - בית דין משמעתי לנבחרים), התשס"ו-2006</w:t>
      </w:r>
      <w:bookmarkEnd w:id="3"/>
    </w:p>
    <w:p w:rsidR="00000000" w:rsidRDefault="006C0067">
      <w:pPr>
        <w:spacing w:line="360" w:lineRule="auto"/>
      </w:pPr>
    </w:p>
    <w:tbl>
      <w:tblPr>
        <w:bidiVisual/>
        <w:tblW w:w="8578"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4"/>
        <w:gridCol w:w="540"/>
        <w:gridCol w:w="540"/>
        <w:gridCol w:w="540"/>
        <w:gridCol w:w="720"/>
        <w:gridCol w:w="124"/>
        <w:gridCol w:w="596"/>
        <w:gridCol w:w="540"/>
        <w:gridCol w:w="3764"/>
      </w:tblGrid>
      <w:tr w:rsidR="00000000">
        <w:trPr>
          <w:cantSplit/>
        </w:trPr>
        <w:tc>
          <w:tcPr>
            <w:tcW w:w="1214" w:type="dxa"/>
            <w:vMerge w:val="restart"/>
            <w:tcBorders>
              <w:top w:val="nil"/>
              <w:left w:val="nil"/>
              <w:bottom w:val="nil"/>
              <w:right w:val="nil"/>
            </w:tcBorders>
          </w:tcPr>
          <w:p w:rsidR="00000000" w:rsidRDefault="006C0067">
            <w:pPr>
              <w:spacing w:after="120"/>
              <w:rPr>
                <w:rFonts w:cs="David"/>
                <w:sz w:val="26"/>
                <w:szCs w:val="26"/>
                <w:rtl/>
              </w:rPr>
            </w:pPr>
            <w:r>
              <w:rPr>
                <w:rFonts w:cs="David"/>
                <w:sz w:val="26"/>
                <w:szCs w:val="26"/>
                <w:rtl/>
              </w:rPr>
              <w:t>תיקון סעיף 28א</w:t>
            </w:r>
          </w:p>
        </w:tc>
        <w:tc>
          <w:tcPr>
            <w:tcW w:w="540" w:type="dxa"/>
            <w:vMerge w:val="restart"/>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 xml:space="preserve">1. </w:t>
            </w:r>
          </w:p>
        </w:tc>
        <w:tc>
          <w:tcPr>
            <w:tcW w:w="6768" w:type="dxa"/>
            <w:gridSpan w:val="7"/>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 xml:space="preserve">בחוק המפלגות, התשנ"ב – </w:t>
            </w:r>
            <w:r>
              <w:rPr>
                <w:rStyle w:val="aa"/>
                <w:rFonts w:cs="David"/>
                <w:sz w:val="26"/>
                <w:szCs w:val="26"/>
                <w:rtl/>
              </w:rPr>
              <w:footnoteReference w:id="1"/>
            </w:r>
            <w:r>
              <w:rPr>
                <w:rFonts w:cs="David"/>
                <w:sz w:val="26"/>
                <w:szCs w:val="26"/>
                <w:rtl/>
              </w:rPr>
              <w:t xml:space="preserve">1992 (להלן – החוק העיקרי) בסעיף 28א - </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540" w:type="dxa"/>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(א)</w:t>
            </w:r>
          </w:p>
        </w:tc>
        <w:tc>
          <w:tcPr>
            <w:tcW w:w="6228" w:type="dxa"/>
            <w:gridSpan w:val="6"/>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בהגדרה "בחירות מקדימות" המילים "שזכ</w:t>
            </w:r>
            <w:r>
              <w:rPr>
                <w:rFonts w:cs="David"/>
                <w:sz w:val="26"/>
                <w:szCs w:val="26"/>
                <w:rtl/>
              </w:rPr>
              <w:t xml:space="preserve">אים להשתתף בהן כלל חברי המפלגה" – יימחקו; </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540" w:type="dxa"/>
            <w:vMerge w:val="restart"/>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(ב)</w:t>
            </w:r>
          </w:p>
        </w:tc>
        <w:tc>
          <w:tcPr>
            <w:tcW w:w="6228" w:type="dxa"/>
            <w:gridSpan w:val="6"/>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 xml:space="preserve">אחרי ההגדרה "בחירות מקדימות" יבוא - </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6228" w:type="dxa"/>
            <w:gridSpan w:val="6"/>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 xml:space="preserve">"הוצאה" – בכסף או בשווה כסף, במישרין או בעקיפין, בארץ או בחוץ לארץ, במזומנים או בהתחייבות מכל סוג"; </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540" w:type="dxa"/>
            <w:vMerge w:val="restart"/>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(ג)</w:t>
            </w:r>
          </w:p>
        </w:tc>
        <w:tc>
          <w:tcPr>
            <w:tcW w:w="6228" w:type="dxa"/>
            <w:gridSpan w:val="6"/>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 xml:space="preserve">במקום ההגדרה "מועמד" יבוא - </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6228" w:type="dxa"/>
            <w:gridSpan w:val="6"/>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"מועמד" – מי שהכריז על ע</w:t>
            </w:r>
            <w:r>
              <w:rPr>
                <w:rFonts w:cs="David"/>
                <w:sz w:val="26"/>
                <w:szCs w:val="26"/>
                <w:rtl/>
              </w:rPr>
              <w:t>צמו כמועמד, או הודיע ברבים על כוונתו, בעל פה או בכתב, במפורש או על דרך התנהגות, להתמודד, בבחירות מקדימות, לתפקיד של יושב ראש המפלגה או להיות מועמד מטעמה לאחד מאלה: ראש ממשלה, שר או חבר הכנסת; לענין זה, "התנהגות" – לרבות הוצאה או גיוס תרומות למטרת קידום מוע</w:t>
            </w:r>
            <w:r>
              <w:rPr>
                <w:rFonts w:cs="David"/>
                <w:sz w:val="26"/>
                <w:szCs w:val="26"/>
                <w:rtl/>
              </w:rPr>
              <w:t xml:space="preserve">מדותו בבחירות המקדימות"; </w:t>
            </w:r>
          </w:p>
        </w:tc>
      </w:tr>
      <w:tr w:rsidR="00000000">
        <w:trPr>
          <w:cantSplit/>
        </w:trPr>
        <w:tc>
          <w:tcPr>
            <w:tcW w:w="1214" w:type="dxa"/>
            <w:vMerge w:val="restart"/>
            <w:tcBorders>
              <w:top w:val="nil"/>
              <w:left w:val="nil"/>
              <w:bottom w:val="nil"/>
              <w:right w:val="nil"/>
            </w:tcBorders>
          </w:tcPr>
          <w:p w:rsidR="00000000" w:rsidRDefault="006C0067">
            <w:pPr>
              <w:spacing w:after="120"/>
              <w:rPr>
                <w:rFonts w:cs="David"/>
                <w:sz w:val="26"/>
                <w:szCs w:val="26"/>
                <w:rtl/>
              </w:rPr>
            </w:pPr>
            <w:r>
              <w:rPr>
                <w:rFonts w:cs="David"/>
                <w:sz w:val="26"/>
                <w:szCs w:val="26"/>
                <w:rtl/>
              </w:rPr>
              <w:t>החלפת סעיף 28ב</w:t>
            </w:r>
          </w:p>
        </w:tc>
        <w:tc>
          <w:tcPr>
            <w:tcW w:w="540" w:type="dxa"/>
            <w:vMerge w:val="restart"/>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 xml:space="preserve">2. </w:t>
            </w:r>
          </w:p>
        </w:tc>
        <w:tc>
          <w:tcPr>
            <w:tcW w:w="6768" w:type="dxa"/>
            <w:gridSpan w:val="7"/>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 xml:space="preserve">במקום סעיף 28ב  לחוק העיקרי יבוא: </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"הגבלות</w:t>
            </w:r>
          </w:p>
        </w:tc>
        <w:tc>
          <w:tcPr>
            <w:tcW w:w="720"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28ב.</w:t>
            </w:r>
          </w:p>
        </w:tc>
        <w:tc>
          <w:tcPr>
            <w:tcW w:w="4968" w:type="dxa"/>
            <w:gridSpan w:val="4"/>
            <w:tcBorders>
              <w:top w:val="nil"/>
              <w:left w:val="nil"/>
              <w:bottom w:val="nil"/>
              <w:right w:val="nil"/>
            </w:tcBorders>
          </w:tcPr>
          <w:p w:rsidR="00000000" w:rsidRDefault="006C0067">
            <w:pPr>
              <w:spacing w:after="120" w:line="360" w:lineRule="auto"/>
              <w:jc w:val="both"/>
              <w:rPr>
                <w:rFonts w:cs="David"/>
                <w:sz w:val="26"/>
                <w:szCs w:val="26"/>
              </w:rPr>
            </w:pPr>
            <w:r>
              <w:rPr>
                <w:rFonts w:cs="David"/>
                <w:sz w:val="26"/>
                <w:szCs w:val="26"/>
                <w:rtl/>
              </w:rPr>
              <w:t>ההגבלות שבפרק זה יחולו בין מערכת בחירות אחת למערכת הבחירות העוקבת הבאה אחריה (להלן – תקופת הבחירות)".</w:t>
            </w:r>
          </w:p>
        </w:tc>
      </w:tr>
      <w:tr w:rsidR="00000000">
        <w:trPr>
          <w:cantSplit/>
        </w:trPr>
        <w:tc>
          <w:tcPr>
            <w:tcW w:w="1214" w:type="dxa"/>
            <w:vMerge w:val="restart"/>
            <w:tcBorders>
              <w:top w:val="nil"/>
              <w:left w:val="nil"/>
              <w:bottom w:val="nil"/>
              <w:right w:val="nil"/>
            </w:tcBorders>
          </w:tcPr>
          <w:p w:rsidR="00000000" w:rsidRDefault="006C0067">
            <w:pPr>
              <w:spacing w:after="120"/>
              <w:rPr>
                <w:rFonts w:cs="David"/>
                <w:sz w:val="26"/>
                <w:szCs w:val="26"/>
                <w:rtl/>
              </w:rPr>
            </w:pPr>
            <w:r>
              <w:rPr>
                <w:rFonts w:cs="David"/>
                <w:sz w:val="26"/>
                <w:szCs w:val="26"/>
                <w:rtl/>
              </w:rPr>
              <w:lastRenderedPageBreak/>
              <w:t>החלפת סעיף 28כז1</w:t>
            </w:r>
          </w:p>
        </w:tc>
        <w:tc>
          <w:tcPr>
            <w:tcW w:w="540" w:type="dxa"/>
            <w:vMerge w:val="restart"/>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 xml:space="preserve">3. </w:t>
            </w:r>
          </w:p>
        </w:tc>
        <w:tc>
          <w:tcPr>
            <w:tcW w:w="6768" w:type="dxa"/>
            <w:gridSpan w:val="7"/>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במקום סעיף 28כז לחוק העיקרי יבוא:</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val="restart"/>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"ביצוע עבירה</w:t>
            </w:r>
          </w:p>
        </w:tc>
        <w:tc>
          <w:tcPr>
            <w:tcW w:w="844" w:type="dxa"/>
            <w:gridSpan w:val="2"/>
            <w:vMerge w:val="restart"/>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28כז1</w:t>
            </w:r>
          </w:p>
        </w:tc>
        <w:tc>
          <w:tcPr>
            <w:tcW w:w="596"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(א)</w:t>
            </w:r>
          </w:p>
        </w:tc>
        <w:tc>
          <w:tcPr>
            <w:tcW w:w="4248" w:type="dxa"/>
            <w:gridSpan w:val="2"/>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נעשה מעשה או מחדל בידי מי שהוסמך לכך על ידי מועמד לפעול לקידום מועמדותו בבחירות המקדימות, או בידי מי שפעל מטעמו כאמור, שאילו נעשה על ידי המועמד היה עבירה על פי פרק זה, רואים את אותו אדם כאחראי לעבירה.</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vMerge w:val="restart"/>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(ב)</w:t>
            </w:r>
          </w:p>
        </w:tc>
        <w:tc>
          <w:tcPr>
            <w:tcW w:w="540"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(1)</w:t>
            </w:r>
          </w:p>
        </w:tc>
        <w:tc>
          <w:tcPr>
            <w:tcW w:w="3764"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מועמד חייב לפקח ו</w:t>
            </w:r>
            <w:r>
              <w:rPr>
                <w:rFonts w:cs="David"/>
                <w:sz w:val="26"/>
                <w:szCs w:val="26"/>
                <w:rtl/>
              </w:rPr>
              <w:t>לנקוט בכל האמצעים הסבירים בנסיבות הענין למניעת עבירה מן העבירות המנויות בסעיף 28כו בידי מי שהוסמך על ידו או פעל מטעמו, לקידום מועמדותו בבחירות המקדימות; הפר המועמד חובתו זו, דינו – השעיה מכהונה נבחרת או ששה חודשי מאסר או קנס כאמור בסעיף 61(א)(2) בחוק העונש</w:t>
            </w:r>
            <w:r>
              <w:rPr>
                <w:rFonts w:cs="David"/>
                <w:sz w:val="26"/>
                <w:szCs w:val="26"/>
                <w:rtl/>
              </w:rPr>
              <w:t>ין.</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vMerge/>
            <w:tcBorders>
              <w:top w:val="nil"/>
              <w:left w:val="nil"/>
              <w:bottom w:val="nil"/>
              <w:right w:val="nil"/>
            </w:tcBorders>
          </w:tcPr>
          <w:p w:rsidR="00000000" w:rsidRDefault="006C0067">
            <w:pPr>
              <w:spacing w:after="120" w:line="360" w:lineRule="auto"/>
              <w:jc w:val="both"/>
              <w:rPr>
                <w:rFonts w:cs="David"/>
                <w:sz w:val="26"/>
                <w:szCs w:val="26"/>
                <w:rtl/>
              </w:rPr>
            </w:pPr>
          </w:p>
        </w:tc>
        <w:tc>
          <w:tcPr>
            <w:tcW w:w="540"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(2)</w:t>
            </w:r>
          </w:p>
        </w:tc>
        <w:tc>
          <w:tcPr>
            <w:tcW w:w="3764"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 xml:space="preserve">נעברה עבירה מן העבירות המנויות בסעיף 28כו בידי מי שהוסמך על ידי מועמד או מי שפעל מטעמו, לקידום מועמדותו בבחירות המקדימות, חזקה היא כי המועמד הפר את חובתו לפי פסקה (1), אלא אם כן הוכיח המועמד כי נקט בכל האמצעים הסבירים בנסיבות הענין כדי למנוע </w:t>
            </w:r>
            <w:r>
              <w:rPr>
                <w:rFonts w:cs="David"/>
                <w:sz w:val="26"/>
                <w:szCs w:val="26"/>
                <w:rtl/>
              </w:rPr>
              <w:t>את ביצוע העבירה."</w:t>
            </w:r>
          </w:p>
        </w:tc>
      </w:tr>
      <w:tr w:rsidR="00000000">
        <w:trPr>
          <w:cantSplit/>
        </w:trPr>
        <w:tc>
          <w:tcPr>
            <w:tcW w:w="1214" w:type="dxa"/>
            <w:vMerge w:val="restart"/>
            <w:tcBorders>
              <w:top w:val="nil"/>
              <w:left w:val="nil"/>
              <w:bottom w:val="nil"/>
              <w:right w:val="nil"/>
            </w:tcBorders>
          </w:tcPr>
          <w:p w:rsidR="00000000" w:rsidRDefault="006C0067">
            <w:pPr>
              <w:spacing w:after="120"/>
              <w:rPr>
                <w:rFonts w:cs="David"/>
                <w:sz w:val="26"/>
                <w:szCs w:val="26"/>
                <w:rtl/>
              </w:rPr>
            </w:pPr>
            <w:r>
              <w:rPr>
                <w:rFonts w:cs="David"/>
                <w:sz w:val="26"/>
                <w:szCs w:val="26"/>
                <w:rtl/>
              </w:rPr>
              <w:t>החלפת סעיפים 28כח</w:t>
            </w:r>
          </w:p>
        </w:tc>
        <w:tc>
          <w:tcPr>
            <w:tcW w:w="540" w:type="dxa"/>
            <w:vMerge w:val="restart"/>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 xml:space="preserve">4. </w:t>
            </w:r>
          </w:p>
        </w:tc>
        <w:tc>
          <w:tcPr>
            <w:tcW w:w="6768" w:type="dxa"/>
            <w:gridSpan w:val="7"/>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במקום סעיף 28כח לחוק העיקרי יבוא:</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"ועדת משמעת</w:t>
            </w:r>
          </w:p>
        </w:tc>
        <w:tc>
          <w:tcPr>
            <w:tcW w:w="844" w:type="dxa"/>
            <w:gridSpan w:val="2"/>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28כט.</w:t>
            </w:r>
          </w:p>
        </w:tc>
        <w:tc>
          <w:tcPr>
            <w:tcW w:w="596"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(א)</w:t>
            </w:r>
          </w:p>
        </w:tc>
        <w:tc>
          <w:tcPr>
            <w:tcW w:w="4248" w:type="dxa"/>
            <w:gridSpan w:val="2"/>
            <w:tcBorders>
              <w:top w:val="nil"/>
              <w:left w:val="nil"/>
              <w:bottom w:val="nil"/>
              <w:right w:val="nil"/>
            </w:tcBorders>
          </w:tcPr>
          <w:p w:rsidR="00000000" w:rsidRDefault="006C0067">
            <w:pPr>
              <w:spacing w:line="360" w:lineRule="auto"/>
              <w:jc w:val="both"/>
              <w:rPr>
                <w:rFonts w:cs="David"/>
                <w:sz w:val="26"/>
                <w:szCs w:val="26"/>
                <w:rtl/>
              </w:rPr>
            </w:pPr>
            <w:r>
              <w:rPr>
                <w:rFonts w:cs="David"/>
                <w:sz w:val="26"/>
                <w:szCs w:val="26"/>
                <w:rtl/>
              </w:rPr>
              <w:t xml:space="preserve">לצורך חוק זה תוקם ועדת משמעת של שלושה, </w:t>
            </w:r>
            <w:r>
              <w:rPr>
                <w:rFonts w:ascii="Arial" w:hAnsi="Arial" w:cs="David"/>
                <w:sz w:val="26"/>
                <w:szCs w:val="26"/>
                <w:rtl/>
              </w:rPr>
              <w:t xml:space="preserve">שתמונה על ידי נשיא המדינה בהמלצת שר המשפטים ובראשה שופט. </w:t>
            </w:r>
            <w:r>
              <w:rPr>
                <w:rFonts w:cs="David"/>
                <w:sz w:val="26"/>
                <w:szCs w:val="26"/>
                <w:rtl/>
              </w:rPr>
              <w:t xml:space="preserve"> אחד מחברי הועדה יהיה חבר כנסת לשעבר שפרש לגמלאות ואחד מחברי</w:t>
            </w:r>
            <w:r>
              <w:rPr>
                <w:rFonts w:cs="David"/>
                <w:sz w:val="26"/>
                <w:szCs w:val="26"/>
                <w:rtl/>
              </w:rPr>
              <w:t xml:space="preserve"> הועדה יהיה</w:t>
            </w:r>
          </w:p>
          <w:p w:rsidR="00000000" w:rsidRDefault="006C0067">
            <w:pPr>
              <w:spacing w:line="360" w:lineRule="auto"/>
              <w:jc w:val="both"/>
              <w:rPr>
                <w:rFonts w:cs="David"/>
                <w:sz w:val="26"/>
                <w:szCs w:val="26"/>
                <w:rtl/>
              </w:rPr>
            </w:pPr>
            <w:r>
              <w:rPr>
                <w:rFonts w:cs="David"/>
                <w:sz w:val="26"/>
                <w:szCs w:val="26"/>
                <w:rtl/>
              </w:rPr>
              <w:t>בעת מינויו חבר בסגל האקדמי של מוסד להשכלה גבוהה שהוכר לפי חוק המועצה</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val="restart"/>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val="restart"/>
            <w:tcBorders>
              <w:top w:val="nil"/>
              <w:left w:val="nil"/>
              <w:bottom w:val="nil"/>
              <w:right w:val="nil"/>
            </w:tcBorders>
          </w:tcPr>
          <w:p w:rsidR="00000000" w:rsidRDefault="006C0067">
            <w:pPr>
              <w:spacing w:after="120" w:line="360" w:lineRule="auto"/>
              <w:rPr>
                <w:rFonts w:cs="David"/>
                <w:sz w:val="26"/>
                <w:szCs w:val="26"/>
                <w:rtl/>
              </w:rPr>
            </w:pPr>
          </w:p>
        </w:tc>
        <w:tc>
          <w:tcPr>
            <w:tcW w:w="596" w:type="dxa"/>
            <w:tcBorders>
              <w:top w:val="nil"/>
              <w:left w:val="nil"/>
              <w:bottom w:val="nil"/>
              <w:right w:val="nil"/>
            </w:tcBorders>
          </w:tcPr>
          <w:p w:rsidR="00000000" w:rsidRDefault="006C0067">
            <w:pPr>
              <w:spacing w:after="120" w:line="360" w:lineRule="auto"/>
              <w:jc w:val="both"/>
              <w:rPr>
                <w:rFonts w:cs="David"/>
                <w:sz w:val="26"/>
                <w:szCs w:val="26"/>
                <w:rtl/>
              </w:rPr>
            </w:pPr>
          </w:p>
        </w:tc>
        <w:tc>
          <w:tcPr>
            <w:tcW w:w="4248" w:type="dxa"/>
            <w:gridSpan w:val="2"/>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להשכלה גבוהה, תשי"ח–1958</w:t>
            </w:r>
            <w:r>
              <w:rPr>
                <w:rStyle w:val="aa"/>
                <w:rFonts w:cs="David"/>
                <w:sz w:val="26"/>
                <w:szCs w:val="26"/>
                <w:rtl/>
              </w:rPr>
              <w:footnoteReference w:id="2"/>
            </w:r>
            <w:r>
              <w:rPr>
                <w:rFonts w:cs="David"/>
                <w:sz w:val="26"/>
                <w:szCs w:val="26"/>
                <w:rtl/>
              </w:rPr>
              <w:t>; יושב ראש הכנסת יפרסם ברשומות הודעה על הרכב הועדה.</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(ב)</w:t>
            </w:r>
          </w:p>
        </w:tc>
        <w:tc>
          <w:tcPr>
            <w:tcW w:w="4248" w:type="dxa"/>
            <w:gridSpan w:val="2"/>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 xml:space="preserve">תקופת כהונתה של הועדה תהיה חמש שנים מיום פרסום ההודעה כאמור </w:t>
            </w:r>
            <w:r>
              <w:rPr>
                <w:rFonts w:cs="David"/>
                <w:sz w:val="26"/>
                <w:szCs w:val="26"/>
                <w:rtl/>
              </w:rPr>
              <w:t>בסעיף קטן (א).</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(ג)</w:t>
            </w:r>
          </w:p>
        </w:tc>
        <w:tc>
          <w:tcPr>
            <w:tcW w:w="4248" w:type="dxa"/>
            <w:gridSpan w:val="2"/>
            <w:tcBorders>
              <w:top w:val="nil"/>
              <w:left w:val="nil"/>
              <w:bottom w:val="nil"/>
              <w:right w:val="nil"/>
            </w:tcBorders>
          </w:tcPr>
          <w:p w:rsidR="00000000" w:rsidRDefault="006C0067">
            <w:pPr>
              <w:tabs>
                <w:tab w:val="num" w:pos="404"/>
              </w:tabs>
              <w:spacing w:after="120" w:line="360" w:lineRule="auto"/>
              <w:jc w:val="both"/>
              <w:rPr>
                <w:rFonts w:ascii="Arial" w:hAnsi="Arial" w:cs="David"/>
                <w:sz w:val="26"/>
                <w:szCs w:val="26"/>
                <w:rtl/>
              </w:rPr>
            </w:pPr>
            <w:r>
              <w:rPr>
                <w:rFonts w:ascii="Arial" w:hAnsi="Arial" w:cs="David"/>
                <w:sz w:val="26"/>
                <w:szCs w:val="26"/>
                <w:rtl/>
              </w:rPr>
              <w:t>לא יכהן ראש הועדה יותר משתי תקופות כהונה מלאות.</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(ד)</w:t>
            </w:r>
          </w:p>
        </w:tc>
        <w:tc>
          <w:tcPr>
            <w:tcW w:w="4248" w:type="dxa"/>
            <w:gridSpan w:val="2"/>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חדל חבר הועדה לכהן או נבצר ממנו דרך קבע למלא תפקידו, ימונה אחר במקומו כאמור בסעיף קטן (א) ליתרת תקופת כהונתה של הועדה.</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(ה)</w:t>
            </w:r>
          </w:p>
        </w:tc>
        <w:tc>
          <w:tcPr>
            <w:tcW w:w="4248" w:type="dxa"/>
            <w:gridSpan w:val="2"/>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יושב ראש הכנסת יקבע הוראות בדבר תשלום גמול לחבר</w:t>
            </w:r>
            <w:r>
              <w:rPr>
                <w:rFonts w:cs="David"/>
                <w:sz w:val="26"/>
                <w:szCs w:val="26"/>
                <w:rtl/>
              </w:rPr>
              <w:t>י ועדת המשמעת שישולם מאוצר המדינה."</w:t>
            </w:r>
          </w:p>
        </w:tc>
      </w:tr>
      <w:tr w:rsidR="00000000">
        <w:trPr>
          <w:cantSplit/>
        </w:trPr>
        <w:tc>
          <w:tcPr>
            <w:tcW w:w="1214" w:type="dxa"/>
            <w:vMerge w:val="restart"/>
            <w:tcBorders>
              <w:top w:val="nil"/>
              <w:left w:val="nil"/>
              <w:bottom w:val="nil"/>
              <w:right w:val="nil"/>
            </w:tcBorders>
          </w:tcPr>
          <w:p w:rsidR="00000000" w:rsidRDefault="006C0067">
            <w:pPr>
              <w:spacing w:after="120"/>
              <w:rPr>
                <w:rFonts w:cs="David"/>
                <w:sz w:val="26"/>
                <w:szCs w:val="26"/>
                <w:rtl/>
              </w:rPr>
            </w:pPr>
            <w:r>
              <w:rPr>
                <w:rFonts w:cs="David"/>
                <w:sz w:val="26"/>
                <w:szCs w:val="26"/>
                <w:rtl/>
              </w:rPr>
              <w:t>הוספת סעיפים 28כט- 28ל</w:t>
            </w:r>
          </w:p>
        </w:tc>
        <w:tc>
          <w:tcPr>
            <w:tcW w:w="540" w:type="dxa"/>
            <w:vMerge w:val="restart"/>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5.</w:t>
            </w:r>
          </w:p>
        </w:tc>
        <w:tc>
          <w:tcPr>
            <w:tcW w:w="1080" w:type="dxa"/>
            <w:gridSpan w:val="2"/>
            <w:vMerge w:val="restart"/>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"הגשת קובלנה</w:t>
            </w:r>
          </w:p>
        </w:tc>
        <w:tc>
          <w:tcPr>
            <w:tcW w:w="844" w:type="dxa"/>
            <w:gridSpan w:val="2"/>
            <w:vMerge w:val="restart"/>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28כט.</w:t>
            </w:r>
          </w:p>
        </w:tc>
        <w:tc>
          <w:tcPr>
            <w:tcW w:w="596" w:type="dxa"/>
            <w:vMerge w:val="restart"/>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(א)</w:t>
            </w:r>
          </w:p>
        </w:tc>
        <w:tc>
          <w:tcPr>
            <w:tcW w:w="4248" w:type="dxa"/>
            <w:gridSpan w:val="2"/>
            <w:tcBorders>
              <w:top w:val="nil"/>
              <w:left w:val="nil"/>
              <w:bottom w:val="nil"/>
              <w:right w:val="nil"/>
            </w:tcBorders>
          </w:tcPr>
          <w:p w:rsidR="00000000" w:rsidRDefault="006C0067">
            <w:pPr>
              <w:tabs>
                <w:tab w:val="left" w:pos="4032"/>
              </w:tabs>
              <w:spacing w:after="120" w:line="360" w:lineRule="auto"/>
              <w:jc w:val="both"/>
              <w:rPr>
                <w:rFonts w:cs="David"/>
                <w:sz w:val="26"/>
                <w:szCs w:val="26"/>
                <w:rtl/>
              </w:rPr>
            </w:pPr>
            <w:r>
              <w:rPr>
                <w:rFonts w:cs="David"/>
                <w:sz w:val="26"/>
                <w:szCs w:val="26"/>
                <w:rtl/>
              </w:rPr>
              <w:t>יושב ראש הכנסת, או שני חברי כנסת מסיעות שונות, או היועץ המשפטי לממשלה רשאים להגיש לועדה קובלנה על נבחר ציבור על יסוד אחד מאלה:</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vMerge/>
            <w:tcBorders>
              <w:top w:val="nil"/>
              <w:left w:val="nil"/>
              <w:bottom w:val="nil"/>
              <w:right w:val="nil"/>
            </w:tcBorders>
          </w:tcPr>
          <w:p w:rsidR="00000000" w:rsidRDefault="006C0067">
            <w:pPr>
              <w:spacing w:after="120" w:line="360" w:lineRule="auto"/>
              <w:jc w:val="both"/>
              <w:rPr>
                <w:rFonts w:cs="David"/>
                <w:sz w:val="26"/>
                <w:szCs w:val="26"/>
                <w:rtl/>
              </w:rPr>
            </w:pPr>
          </w:p>
        </w:tc>
        <w:tc>
          <w:tcPr>
            <w:tcW w:w="540"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(1)</w:t>
            </w:r>
          </w:p>
        </w:tc>
        <w:tc>
          <w:tcPr>
            <w:tcW w:w="3708"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 xml:space="preserve">נבחר הציבור נהג שלא כהלכה במילוי </w:t>
            </w:r>
            <w:r>
              <w:rPr>
                <w:rFonts w:cs="David"/>
                <w:sz w:val="26"/>
                <w:szCs w:val="26"/>
                <w:rtl/>
              </w:rPr>
              <w:t>תפקידו;</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vMerge/>
            <w:tcBorders>
              <w:top w:val="nil"/>
              <w:left w:val="nil"/>
              <w:bottom w:val="nil"/>
              <w:right w:val="nil"/>
            </w:tcBorders>
          </w:tcPr>
          <w:p w:rsidR="00000000" w:rsidRDefault="006C0067">
            <w:pPr>
              <w:spacing w:after="120" w:line="360" w:lineRule="auto"/>
              <w:jc w:val="both"/>
              <w:rPr>
                <w:rFonts w:cs="David"/>
                <w:sz w:val="26"/>
                <w:szCs w:val="26"/>
                <w:rtl/>
              </w:rPr>
            </w:pPr>
          </w:p>
        </w:tc>
        <w:tc>
          <w:tcPr>
            <w:tcW w:w="540"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(2)</w:t>
            </w:r>
          </w:p>
        </w:tc>
        <w:tc>
          <w:tcPr>
            <w:tcW w:w="3708"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התנהג באופן שאינו הולם את מעמדו של נבחר ציבור בישראל;</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vMerge/>
            <w:tcBorders>
              <w:top w:val="nil"/>
              <w:left w:val="nil"/>
              <w:bottom w:val="nil"/>
              <w:right w:val="nil"/>
            </w:tcBorders>
          </w:tcPr>
          <w:p w:rsidR="00000000" w:rsidRDefault="006C0067">
            <w:pPr>
              <w:spacing w:after="120" w:line="360" w:lineRule="auto"/>
              <w:jc w:val="both"/>
              <w:rPr>
                <w:rFonts w:cs="David"/>
                <w:sz w:val="26"/>
                <w:szCs w:val="26"/>
                <w:rtl/>
              </w:rPr>
            </w:pPr>
          </w:p>
        </w:tc>
        <w:tc>
          <w:tcPr>
            <w:tcW w:w="540"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(3)</w:t>
            </w:r>
          </w:p>
        </w:tc>
        <w:tc>
          <w:tcPr>
            <w:tcW w:w="3708"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 xml:space="preserve">הועדה מצאה שנבחר הציבור השיג את מינויו שלא כדין. </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vMerge w:val="restart"/>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(ב)</w:t>
            </w:r>
          </w:p>
        </w:tc>
        <w:tc>
          <w:tcPr>
            <w:tcW w:w="4248" w:type="dxa"/>
            <w:gridSpan w:val="2"/>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 xml:space="preserve">אמצעי המשמעת שהוועדה מוסמכת להטיל הם: </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vMerge/>
            <w:tcBorders>
              <w:top w:val="nil"/>
              <w:left w:val="nil"/>
              <w:bottom w:val="nil"/>
              <w:right w:val="nil"/>
            </w:tcBorders>
          </w:tcPr>
          <w:p w:rsidR="00000000" w:rsidRDefault="006C0067">
            <w:pPr>
              <w:spacing w:after="120" w:line="360" w:lineRule="auto"/>
              <w:jc w:val="both"/>
              <w:rPr>
                <w:rFonts w:cs="David"/>
                <w:sz w:val="26"/>
                <w:szCs w:val="26"/>
                <w:rtl/>
              </w:rPr>
            </w:pPr>
          </w:p>
        </w:tc>
        <w:tc>
          <w:tcPr>
            <w:tcW w:w="540"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(1)</w:t>
            </w:r>
          </w:p>
        </w:tc>
        <w:tc>
          <w:tcPr>
            <w:tcW w:w="3708"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קנס;</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vMerge/>
            <w:tcBorders>
              <w:top w:val="nil"/>
              <w:left w:val="nil"/>
              <w:bottom w:val="nil"/>
              <w:right w:val="nil"/>
            </w:tcBorders>
          </w:tcPr>
          <w:p w:rsidR="00000000" w:rsidRDefault="006C0067">
            <w:pPr>
              <w:spacing w:after="120" w:line="360" w:lineRule="auto"/>
              <w:jc w:val="both"/>
              <w:rPr>
                <w:rFonts w:cs="David"/>
                <w:sz w:val="26"/>
                <w:szCs w:val="26"/>
                <w:rtl/>
              </w:rPr>
            </w:pPr>
          </w:p>
        </w:tc>
        <w:tc>
          <w:tcPr>
            <w:tcW w:w="540"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(2)</w:t>
            </w:r>
          </w:p>
        </w:tc>
        <w:tc>
          <w:tcPr>
            <w:tcW w:w="3708"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נזיפה;</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vMerge/>
            <w:tcBorders>
              <w:top w:val="nil"/>
              <w:left w:val="nil"/>
              <w:bottom w:val="nil"/>
              <w:right w:val="nil"/>
            </w:tcBorders>
          </w:tcPr>
          <w:p w:rsidR="00000000" w:rsidRDefault="006C0067">
            <w:pPr>
              <w:spacing w:after="120" w:line="360" w:lineRule="auto"/>
              <w:jc w:val="both"/>
              <w:rPr>
                <w:rFonts w:cs="David"/>
                <w:sz w:val="26"/>
                <w:szCs w:val="26"/>
                <w:rtl/>
              </w:rPr>
            </w:pPr>
          </w:p>
        </w:tc>
        <w:tc>
          <w:tcPr>
            <w:tcW w:w="540"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(3)</w:t>
            </w:r>
          </w:p>
        </w:tc>
        <w:tc>
          <w:tcPr>
            <w:tcW w:w="3708"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השעיה לתקופה מכהונה;</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844" w:type="dxa"/>
            <w:gridSpan w:val="2"/>
            <w:vMerge/>
            <w:tcBorders>
              <w:top w:val="nil"/>
              <w:left w:val="nil"/>
              <w:bottom w:val="nil"/>
              <w:right w:val="nil"/>
            </w:tcBorders>
          </w:tcPr>
          <w:p w:rsidR="00000000" w:rsidRDefault="006C0067">
            <w:pPr>
              <w:spacing w:after="120" w:line="360" w:lineRule="auto"/>
              <w:rPr>
                <w:rFonts w:cs="David"/>
                <w:sz w:val="26"/>
                <w:szCs w:val="26"/>
                <w:rtl/>
              </w:rPr>
            </w:pPr>
          </w:p>
        </w:tc>
        <w:tc>
          <w:tcPr>
            <w:tcW w:w="596" w:type="dxa"/>
            <w:vMerge/>
            <w:tcBorders>
              <w:top w:val="nil"/>
              <w:left w:val="nil"/>
              <w:bottom w:val="nil"/>
              <w:right w:val="nil"/>
            </w:tcBorders>
          </w:tcPr>
          <w:p w:rsidR="00000000" w:rsidRDefault="006C0067">
            <w:pPr>
              <w:spacing w:after="120" w:line="360" w:lineRule="auto"/>
              <w:jc w:val="both"/>
              <w:rPr>
                <w:rFonts w:cs="David"/>
                <w:sz w:val="26"/>
                <w:szCs w:val="26"/>
                <w:rtl/>
              </w:rPr>
            </w:pPr>
          </w:p>
        </w:tc>
        <w:tc>
          <w:tcPr>
            <w:tcW w:w="540"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(4)</w:t>
            </w:r>
          </w:p>
        </w:tc>
        <w:tc>
          <w:tcPr>
            <w:tcW w:w="3708" w:type="dxa"/>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העב</w:t>
            </w:r>
            <w:r>
              <w:rPr>
                <w:rFonts w:cs="David"/>
                <w:sz w:val="26"/>
                <w:szCs w:val="26"/>
                <w:rtl/>
              </w:rPr>
              <w:t>רה מן הכהונה.</w:t>
            </w:r>
          </w:p>
        </w:tc>
      </w:tr>
      <w:tr w:rsidR="00000000">
        <w:trPr>
          <w:cantSplit/>
        </w:trPr>
        <w:tc>
          <w:tcPr>
            <w:tcW w:w="1214" w:type="dxa"/>
            <w:vMerge/>
            <w:tcBorders>
              <w:top w:val="nil"/>
              <w:left w:val="nil"/>
              <w:bottom w:val="nil"/>
              <w:right w:val="nil"/>
            </w:tcBorders>
          </w:tcPr>
          <w:p w:rsidR="00000000" w:rsidRDefault="006C0067">
            <w:pPr>
              <w:spacing w:after="120"/>
              <w:rPr>
                <w:rFonts w:cs="David"/>
                <w:sz w:val="26"/>
                <w:szCs w:val="26"/>
                <w:rtl/>
              </w:rPr>
            </w:pPr>
          </w:p>
        </w:tc>
        <w:tc>
          <w:tcPr>
            <w:tcW w:w="540" w:type="dxa"/>
            <w:vMerge/>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ממלא מקום</w:t>
            </w:r>
          </w:p>
        </w:tc>
        <w:tc>
          <w:tcPr>
            <w:tcW w:w="844" w:type="dxa"/>
            <w:gridSpan w:val="2"/>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28ל.</w:t>
            </w:r>
          </w:p>
        </w:tc>
        <w:tc>
          <w:tcPr>
            <w:tcW w:w="4844" w:type="dxa"/>
            <w:gridSpan w:val="3"/>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החליטה הוועדה להעביר נבחר ציבור מתפקידו כאמור בסעיף 28לא(ב)(4), יבוא במקומו הבא אחריו ברשימת המפלגה או הסיעה.</w:t>
            </w:r>
          </w:p>
        </w:tc>
      </w:tr>
      <w:tr w:rsidR="00000000">
        <w:trPr>
          <w:cantSplit/>
        </w:trPr>
        <w:tc>
          <w:tcPr>
            <w:tcW w:w="1214" w:type="dxa"/>
            <w:tcBorders>
              <w:top w:val="nil"/>
              <w:left w:val="nil"/>
              <w:bottom w:val="nil"/>
              <w:right w:val="nil"/>
            </w:tcBorders>
          </w:tcPr>
          <w:p w:rsidR="00000000" w:rsidRDefault="006C0067">
            <w:pPr>
              <w:spacing w:after="120"/>
              <w:rPr>
                <w:rFonts w:cs="David"/>
                <w:sz w:val="26"/>
                <w:szCs w:val="26"/>
                <w:rtl/>
              </w:rPr>
            </w:pPr>
          </w:p>
        </w:tc>
        <w:tc>
          <w:tcPr>
            <w:tcW w:w="540" w:type="dxa"/>
            <w:tcBorders>
              <w:top w:val="nil"/>
              <w:left w:val="nil"/>
              <w:bottom w:val="nil"/>
              <w:right w:val="nil"/>
            </w:tcBorders>
          </w:tcPr>
          <w:p w:rsidR="00000000" w:rsidRDefault="006C0067">
            <w:pPr>
              <w:spacing w:after="120" w:line="360" w:lineRule="auto"/>
              <w:rPr>
                <w:rFonts w:cs="David"/>
                <w:sz w:val="26"/>
                <w:szCs w:val="26"/>
                <w:rtl/>
              </w:rPr>
            </w:pPr>
          </w:p>
        </w:tc>
        <w:tc>
          <w:tcPr>
            <w:tcW w:w="1080" w:type="dxa"/>
            <w:gridSpan w:val="2"/>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ערעור</w:t>
            </w:r>
          </w:p>
        </w:tc>
        <w:tc>
          <w:tcPr>
            <w:tcW w:w="844" w:type="dxa"/>
            <w:gridSpan w:val="2"/>
            <w:tcBorders>
              <w:top w:val="nil"/>
              <w:left w:val="nil"/>
              <w:bottom w:val="nil"/>
              <w:right w:val="nil"/>
            </w:tcBorders>
          </w:tcPr>
          <w:p w:rsidR="00000000" w:rsidRDefault="006C0067">
            <w:pPr>
              <w:spacing w:after="120" w:line="360" w:lineRule="auto"/>
              <w:rPr>
                <w:rFonts w:cs="David"/>
                <w:sz w:val="26"/>
                <w:szCs w:val="26"/>
                <w:rtl/>
              </w:rPr>
            </w:pPr>
            <w:r>
              <w:rPr>
                <w:rFonts w:cs="David"/>
                <w:sz w:val="26"/>
                <w:szCs w:val="26"/>
                <w:rtl/>
              </w:rPr>
              <w:t>28לא.</w:t>
            </w:r>
          </w:p>
        </w:tc>
        <w:tc>
          <w:tcPr>
            <w:tcW w:w="4844" w:type="dxa"/>
            <w:gridSpan w:val="3"/>
            <w:tcBorders>
              <w:top w:val="nil"/>
              <w:left w:val="nil"/>
              <w:bottom w:val="nil"/>
              <w:right w:val="nil"/>
            </w:tcBorders>
          </w:tcPr>
          <w:p w:rsidR="00000000" w:rsidRDefault="006C0067">
            <w:pPr>
              <w:spacing w:after="120" w:line="360" w:lineRule="auto"/>
              <w:jc w:val="both"/>
              <w:rPr>
                <w:rFonts w:cs="David"/>
                <w:sz w:val="26"/>
                <w:szCs w:val="26"/>
                <w:rtl/>
              </w:rPr>
            </w:pPr>
            <w:r>
              <w:rPr>
                <w:rFonts w:cs="David"/>
                <w:sz w:val="26"/>
                <w:szCs w:val="26"/>
                <w:rtl/>
              </w:rPr>
              <w:t>נבחר ציבור רשאי לערער על החלטת ועדת המשמעת בפני בית המשפט העליון."</w:t>
            </w:r>
          </w:p>
        </w:tc>
      </w:tr>
    </w:tbl>
    <w:p w:rsidR="00000000" w:rsidRDefault="006C0067">
      <w:pPr>
        <w:spacing w:line="360" w:lineRule="auto"/>
        <w:rPr>
          <w:rFonts w:cs="David"/>
          <w:rtl/>
        </w:rPr>
      </w:pPr>
    </w:p>
    <w:p w:rsidR="00000000" w:rsidRDefault="006C0067">
      <w:pPr>
        <w:spacing w:line="360" w:lineRule="auto"/>
        <w:jc w:val="center"/>
        <w:rPr>
          <w:rFonts w:cs="David"/>
          <w:b/>
          <w:bCs/>
          <w:sz w:val="28"/>
          <w:szCs w:val="28"/>
          <w:u w:val="single"/>
          <w:rtl/>
        </w:rPr>
      </w:pPr>
      <w:r>
        <w:rPr>
          <w:rFonts w:cs="David"/>
          <w:b/>
          <w:bCs/>
          <w:sz w:val="28"/>
          <w:szCs w:val="28"/>
          <w:u w:val="single"/>
          <w:rtl/>
        </w:rPr>
        <w:t>דברי – הסבר</w:t>
      </w:r>
    </w:p>
    <w:p w:rsidR="00000000" w:rsidRDefault="006C0067">
      <w:pPr>
        <w:spacing w:line="360" w:lineRule="auto"/>
        <w:jc w:val="center"/>
        <w:rPr>
          <w:rFonts w:cs="David"/>
          <w:b/>
          <w:bCs/>
          <w:sz w:val="28"/>
          <w:szCs w:val="28"/>
          <w:u w:val="single"/>
          <w:rtl/>
        </w:rPr>
      </w:pPr>
    </w:p>
    <w:p w:rsidR="00000000" w:rsidRDefault="006C0067">
      <w:pPr>
        <w:tabs>
          <w:tab w:val="num" w:pos="720"/>
        </w:tabs>
        <w:jc w:val="both"/>
        <w:rPr>
          <w:rFonts w:cs="David"/>
          <w:sz w:val="26"/>
          <w:szCs w:val="26"/>
          <w:rtl/>
        </w:rPr>
      </w:pPr>
      <w:r>
        <w:rPr>
          <w:rFonts w:cs="David"/>
          <w:sz w:val="26"/>
          <w:szCs w:val="26"/>
          <w:rtl/>
        </w:rPr>
        <w:t>הניסיון שהצטבר בי</w:t>
      </w:r>
      <w:r>
        <w:rPr>
          <w:rFonts w:cs="David"/>
          <w:sz w:val="26"/>
          <w:szCs w:val="26"/>
          <w:rtl/>
        </w:rPr>
        <w:t>שראל מאז חקיקת חוק המפלגות בשנת 1992 והתיקונים בחוק מימון מפלגות בשנות ה-90, מראים כי הענישה הקיימת בחוקים המסדירים את התחרות הפוליטית אינה משיגה את אפקט ההרתעה המתבקש. הסנקציות המצויות בחוק הן סנקציות פליליות המסתכמות בעונשי מאסר או קנס כספי. בהיותן סנקצי</w:t>
      </w:r>
      <w:r>
        <w:rPr>
          <w:rFonts w:cs="David"/>
          <w:sz w:val="26"/>
          <w:szCs w:val="26"/>
          <w:rtl/>
        </w:rPr>
        <w:t>ות פליליות הן דורשות לא רק הוכחה של היסוד העובדתי של ביצוע העבירה, אלא גם את הוכחת היסוד הנפשי של כוונה לביצוע העבירה. המסלול הפלילי מחייב הוכחת כוונה והוכחת פרטי האישום כולו מעל לכל ספק סביר.</w:t>
      </w:r>
    </w:p>
    <w:p w:rsidR="00000000" w:rsidRDefault="006C0067">
      <w:pPr>
        <w:tabs>
          <w:tab w:val="num" w:pos="720"/>
        </w:tabs>
        <w:jc w:val="both"/>
        <w:rPr>
          <w:rFonts w:cs="David"/>
          <w:sz w:val="26"/>
          <w:szCs w:val="26"/>
          <w:rtl/>
        </w:rPr>
      </w:pPr>
    </w:p>
    <w:p w:rsidR="00000000" w:rsidRDefault="006C0067">
      <w:pPr>
        <w:tabs>
          <w:tab w:val="num" w:pos="720"/>
        </w:tabs>
        <w:jc w:val="both"/>
        <w:rPr>
          <w:rFonts w:cs="David"/>
          <w:sz w:val="26"/>
          <w:szCs w:val="26"/>
          <w:rtl/>
        </w:rPr>
      </w:pPr>
      <w:r>
        <w:rPr>
          <w:rFonts w:cs="David"/>
          <w:sz w:val="26"/>
          <w:szCs w:val="26"/>
          <w:rtl/>
        </w:rPr>
        <w:t xml:space="preserve">קרה וקורה שנבחרי ציבור מנתקים עצמם במודע מכל המתרחש סביב הליך </w:t>
      </w:r>
      <w:r>
        <w:rPr>
          <w:rFonts w:cs="David"/>
          <w:sz w:val="26"/>
          <w:szCs w:val="26"/>
          <w:rtl/>
        </w:rPr>
        <w:t xml:space="preserve">הבחירות, לא יודעים ולא רוצים לדעת. בהיעדר ידיעה פוזיטיבית לא ניתן להוכיח כוונה, גם כאשר נבחר הציבור נמצא נהנה מעצימת עיניים בנוגע למעשים הנעשים על ידי אנשים הנתונים למרותו. </w:t>
      </w:r>
    </w:p>
    <w:p w:rsidR="00000000" w:rsidRDefault="006C0067">
      <w:pPr>
        <w:tabs>
          <w:tab w:val="num" w:pos="720"/>
        </w:tabs>
        <w:jc w:val="both"/>
        <w:rPr>
          <w:rFonts w:cs="David"/>
          <w:sz w:val="26"/>
          <w:szCs w:val="26"/>
          <w:rtl/>
        </w:rPr>
      </w:pPr>
    </w:p>
    <w:p w:rsidR="00000000" w:rsidRDefault="006C0067">
      <w:pPr>
        <w:tabs>
          <w:tab w:val="num" w:pos="720"/>
        </w:tabs>
        <w:jc w:val="both"/>
        <w:rPr>
          <w:rFonts w:cs="David"/>
          <w:sz w:val="26"/>
          <w:szCs w:val="26"/>
          <w:rtl/>
        </w:rPr>
      </w:pPr>
      <w:r>
        <w:rPr>
          <w:rFonts w:cs="David"/>
          <w:sz w:val="26"/>
          <w:szCs w:val="26"/>
          <w:rtl/>
        </w:rPr>
        <w:t>התנהגות כזו מצד נבחר ציבור היא בלתי נסבלת. לא רק שהיא פוגעת ברוח שלטון החוק ובתפי</w:t>
      </w:r>
      <w:r>
        <w:rPr>
          <w:rFonts w:cs="David"/>
          <w:sz w:val="26"/>
          <w:szCs w:val="26"/>
          <w:rtl/>
        </w:rPr>
        <w:t xml:space="preserve">סת האחריות שעל נבחר ציבור ליטול במדינה מתוקנת, היא גם מערערת את אמון הציבור בנבחריו וגורמת זילות לכל בית הנבחרים. על אחת כמה וכמה כאשר הנבחר מואשם בבית המשפט וזהו קו טיעונו. </w:t>
      </w:r>
    </w:p>
    <w:p w:rsidR="00000000" w:rsidRDefault="006C0067">
      <w:pPr>
        <w:tabs>
          <w:tab w:val="num" w:pos="720"/>
        </w:tabs>
        <w:jc w:val="both"/>
        <w:rPr>
          <w:rFonts w:cs="David"/>
          <w:sz w:val="26"/>
          <w:szCs w:val="26"/>
          <w:rtl/>
        </w:rPr>
      </w:pPr>
      <w:r>
        <w:rPr>
          <w:rFonts w:cs="David"/>
          <w:sz w:val="26"/>
          <w:szCs w:val="26"/>
          <w:rtl/>
        </w:rPr>
        <w:t>מוצע בזאת ליצור מסלול נפרד מהמישור הפלילי, מסלול של סנקציה אלקטורלית לנבחרי ציבור</w:t>
      </w:r>
      <w:r>
        <w:rPr>
          <w:rFonts w:cs="David"/>
          <w:sz w:val="26"/>
          <w:szCs w:val="26"/>
          <w:rtl/>
        </w:rPr>
        <w:t>. המסלול המוצע דורש אחריות מוגברת מנבחר ציבור. על הנבחר יהיה לוודא כי מערכת הבחירות בה הוא מתמודד מנוהלת על פי הוראות החוק. היה ויתברר כי בן משפחה או בעל תפקיד במערכת הבחירות היה מעורב בהפרת חוקי הבחירות, ניתן יהיה להביא בהליך מהיר להפסקת הכהונה של נבחר הצ</w:t>
      </w:r>
      <w:r>
        <w:rPr>
          <w:rFonts w:cs="David"/>
          <w:sz w:val="26"/>
          <w:szCs w:val="26"/>
          <w:rtl/>
        </w:rPr>
        <w:t xml:space="preserve">יבור בגין אי עמידה בסטנדרד התנהגות נדרש.  ענישה פלילית וסכנת כליאה לא נשקפת כלל במסלול זה. </w:t>
      </w:r>
      <w:r>
        <w:rPr>
          <w:rFonts w:cs="David"/>
          <w:b/>
          <w:bCs/>
          <w:sz w:val="26"/>
          <w:szCs w:val="26"/>
          <w:rtl/>
        </w:rPr>
        <w:t>הליכה הביתה</w:t>
      </w:r>
      <w:r>
        <w:rPr>
          <w:rFonts w:cs="David"/>
          <w:sz w:val="26"/>
          <w:szCs w:val="26"/>
          <w:rtl/>
        </w:rPr>
        <w:t xml:space="preserve"> היא הסנקציה בחלופה זו.</w:t>
      </w:r>
    </w:p>
    <w:p w:rsidR="00000000" w:rsidRDefault="006C0067">
      <w:pPr>
        <w:tabs>
          <w:tab w:val="num" w:pos="720"/>
        </w:tabs>
        <w:jc w:val="both"/>
        <w:rPr>
          <w:rFonts w:cs="David"/>
          <w:sz w:val="26"/>
          <w:szCs w:val="26"/>
          <w:rtl/>
        </w:rPr>
      </w:pPr>
    </w:p>
    <w:p w:rsidR="00000000" w:rsidRDefault="006C0067">
      <w:pPr>
        <w:tabs>
          <w:tab w:val="num" w:pos="720"/>
        </w:tabs>
        <w:jc w:val="both"/>
        <w:rPr>
          <w:rFonts w:cs="David"/>
          <w:sz w:val="26"/>
          <w:szCs w:val="26"/>
          <w:rtl/>
        </w:rPr>
      </w:pPr>
      <w:r>
        <w:rPr>
          <w:rFonts w:cs="David"/>
          <w:sz w:val="26"/>
          <w:szCs w:val="26"/>
          <w:rtl/>
        </w:rPr>
        <w:t>יובהר כי מסלול זה יכול להתקיים בנפרד או בנוסף למסלול הפלילי, אבל הגיונו בכך שכאשר נגלית התנהגות פוליטית משחיתה, עליה לא ניתן להעמ</w:t>
      </w:r>
      <w:r>
        <w:rPr>
          <w:rFonts w:cs="David"/>
          <w:sz w:val="26"/>
          <w:szCs w:val="26"/>
          <w:rtl/>
        </w:rPr>
        <w:t xml:space="preserve">יד לדין פלילי בשל המגבלות של ההליך הפלילי, נפתח מסלול חלופי במישור הציבורי. </w:t>
      </w:r>
    </w:p>
    <w:p w:rsidR="00000000" w:rsidRDefault="006C0067">
      <w:pPr>
        <w:tabs>
          <w:tab w:val="num" w:pos="720"/>
        </w:tabs>
        <w:jc w:val="both"/>
        <w:rPr>
          <w:rFonts w:cs="David"/>
          <w:sz w:val="26"/>
          <w:szCs w:val="26"/>
          <w:rtl/>
        </w:rPr>
      </w:pPr>
      <w:r>
        <w:rPr>
          <w:rFonts w:cs="David"/>
          <w:sz w:val="26"/>
          <w:szCs w:val="26"/>
          <w:rtl/>
        </w:rPr>
        <w:t>הסנקציה המוצעת היא אישית ולא תפגע בייצוג היחסי של המפלגה או הסיעה.</w:t>
      </w:r>
    </w:p>
    <w:p w:rsidR="00000000" w:rsidRDefault="006C0067">
      <w:pPr>
        <w:spacing w:line="360" w:lineRule="auto"/>
        <w:jc w:val="both"/>
        <w:rPr>
          <w:rFonts w:cs="David"/>
          <w:b/>
          <w:bCs/>
        </w:rPr>
      </w:pPr>
    </w:p>
    <w:p w:rsidR="00000000" w:rsidRDefault="006C0067">
      <w:pPr>
        <w:pStyle w:val="a3"/>
        <w:spacing w:line="360" w:lineRule="auto"/>
        <w:jc w:val="left"/>
        <w:rPr>
          <w:rFonts w:cs="David"/>
          <w:u w:val="none"/>
          <w:rtl/>
        </w:rPr>
      </w:pPr>
    </w:p>
    <w:p w:rsidR="00000000" w:rsidRDefault="006C0067">
      <w:pPr>
        <w:pStyle w:val="a3"/>
        <w:spacing w:line="360" w:lineRule="auto"/>
        <w:jc w:val="left"/>
        <w:rPr>
          <w:rFonts w:cs="David"/>
          <w:b w:val="0"/>
          <w:bCs w:val="0"/>
          <w:sz w:val="26"/>
          <w:szCs w:val="26"/>
          <w:u w:val="none"/>
          <w:rtl/>
        </w:rPr>
      </w:pPr>
      <w:r>
        <w:rPr>
          <w:rFonts w:cs="David"/>
          <w:b w:val="0"/>
          <w:bCs w:val="0"/>
          <w:sz w:val="26"/>
          <w:szCs w:val="26"/>
          <w:u w:val="none"/>
          <w:rtl/>
        </w:rPr>
        <w:t>---------------------------------</w:t>
      </w:r>
    </w:p>
    <w:p w:rsidR="00000000" w:rsidRDefault="006C0067">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6C0067">
      <w:pPr>
        <w:pStyle w:val="a3"/>
        <w:spacing w:line="360" w:lineRule="auto"/>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6C0067">
      <w:pPr>
        <w:pStyle w:val="a3"/>
        <w:spacing w:line="360" w:lineRule="auto"/>
        <w:jc w:val="left"/>
        <w:rPr>
          <w:rFonts w:cs="David"/>
          <w:b w:val="0"/>
          <w:bCs w:val="0"/>
          <w:sz w:val="26"/>
          <w:szCs w:val="26"/>
          <w:u w:val="none"/>
        </w:rPr>
      </w:pPr>
      <w:r>
        <w:rPr>
          <w:rFonts w:cs="David"/>
          <w:b w:val="0"/>
          <w:bCs w:val="0"/>
          <w:sz w:val="26"/>
          <w:szCs w:val="26"/>
          <w:u w:val="none"/>
          <w:rtl/>
        </w:rPr>
        <w:t>כ"ג בתמוז התשס"ו –</w:t>
      </w:r>
      <w:r>
        <w:rPr>
          <w:rFonts w:cs="David"/>
          <w:b w:val="0"/>
          <w:bCs w:val="0"/>
          <w:sz w:val="26"/>
          <w:szCs w:val="26"/>
          <w:u w:val="none"/>
          <w:rtl/>
        </w:rPr>
        <w:t xml:space="preserve"> 19.7.06</w:t>
      </w:r>
    </w:p>
    <w:sectPr w:rsidR="00000000">
      <w:headerReference w:type="default" r:id="rId7"/>
      <w:pgSz w:w="11906" w:h="16838"/>
      <w:pgMar w:top="1258"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C0067">
      <w:r>
        <w:separator/>
      </w:r>
    </w:p>
  </w:endnote>
  <w:endnote w:type="continuationSeparator" w:id="0">
    <w:p w:rsidR="00000000" w:rsidRDefault="006C0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C0067">
      <w:r>
        <w:separator/>
      </w:r>
    </w:p>
  </w:footnote>
  <w:footnote w:type="continuationSeparator" w:id="0">
    <w:p w:rsidR="00000000" w:rsidRDefault="006C0067">
      <w:r>
        <w:continuationSeparator/>
      </w:r>
    </w:p>
  </w:footnote>
  <w:footnote w:id="1">
    <w:p w:rsidR="00000000" w:rsidRDefault="006C0067">
      <w:pPr>
        <w:pStyle w:val="a8"/>
      </w:pPr>
      <w:r>
        <w:rPr>
          <w:rStyle w:val="aa"/>
        </w:rPr>
        <w:footnoteRef/>
      </w:r>
      <w:r>
        <w:rPr>
          <w:rtl/>
        </w:rPr>
        <w:t xml:space="preserve"> </w:t>
      </w:r>
      <w:r>
        <w:rPr>
          <w:rFonts w:cs="David"/>
          <w:rtl/>
        </w:rPr>
        <w:t>ס"ח התשנ"ב, עמ' 190</w:t>
      </w:r>
    </w:p>
  </w:footnote>
  <w:footnote w:id="2">
    <w:p w:rsidR="00000000" w:rsidRDefault="006C0067">
      <w:pPr>
        <w:pStyle w:val="a8"/>
      </w:pPr>
      <w:r>
        <w:rPr>
          <w:rStyle w:val="aa"/>
        </w:rPr>
        <w:footnoteRef/>
      </w:r>
      <w:r>
        <w:rPr>
          <w:rtl/>
        </w:rPr>
        <w:t xml:space="preserve"> </w:t>
      </w:r>
      <w:r>
        <w:rPr>
          <w:rFonts w:cs="David"/>
          <w:rtl/>
        </w:rPr>
        <w:t>ס"ח התשי"ח, עמ' 191.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0067">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4</w:t>
    </w:r>
    <w:r>
      <w:rPr>
        <w:rStyle w:val="a7"/>
      </w:rPr>
      <w:fldChar w:fldCharType="end"/>
    </w:r>
  </w:p>
  <w:p w:rsidR="00000000" w:rsidRDefault="006C006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402D72"/>
    <w:multiLevelType w:val="hybridMultilevel"/>
    <w:tmpl w:val="D49E3910"/>
    <w:lvl w:ilvl="0" w:tplc="6E925982">
      <w:start w:val="1"/>
      <w:numFmt w:val="hebrew1"/>
      <w:lvlText w:val="(%1)"/>
      <w:lvlJc w:val="left"/>
      <w:pPr>
        <w:tabs>
          <w:tab w:val="num" w:pos="1755"/>
        </w:tabs>
        <w:ind w:left="1755" w:hanging="1035"/>
      </w:pPr>
      <w:rPr>
        <w:rFonts w:cs="Times New Roman" w:hint="default"/>
      </w:rPr>
    </w:lvl>
    <w:lvl w:ilvl="1" w:tplc="6F28D784">
      <w:start w:val="1"/>
      <w:numFmt w:val="decimal"/>
      <w:lvlText w:val="(%2)"/>
      <w:lvlJc w:val="left"/>
      <w:pPr>
        <w:tabs>
          <w:tab w:val="num" w:pos="1800"/>
        </w:tabs>
        <w:ind w:left="1800" w:hanging="360"/>
      </w:pPr>
      <w:rPr>
        <w:rFonts w:cs="Times New Roman" w:hint="default"/>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4660éåñé áééìéï - áéú ãéï îùîòúé ìðáçøéí.doc"/>
    <w:docVar w:name="StartMode" w:val="2"/>
  </w:docVars>
  <w:rsids>
    <w:rsidRoot w:val="006C0067"/>
    <w:rsid w:val="006C00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lang w:eastAsia="en-US"/>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864</Words>
  <Characters>4322</Characters>
  <Application>Microsoft Office Word</Application>
  <DocSecurity>0</DocSecurity>
  <Lines>36</Lines>
  <Paragraphs>10</Paragraphs>
  <ScaleCrop>false</ScaleCrop>
  <Company>knesset</Company>
  <LinksUpToDate>false</LinksUpToDate>
  <CharactersWithSpaces>5176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המפלגות (תיקון - בית דין משמעתי לנבחרים), התשס"ו-2006</dc:title>
  <dc:subject/>
  <dc:creator>Knesset</dc:creator>
  <cp:keywords/>
  <dc:description/>
  <cp:lastModifiedBy>שמואל כוכב</cp:lastModifiedBy>
  <cp:revision>2</cp:revision>
  <cp:lastPrinted>2006-07-17T10:26:00Z</cp:lastPrinted>
  <dcterms:created xsi:type="dcterms:W3CDTF">2015-02-03T16:50:00Z</dcterms:created>
  <dcterms:modified xsi:type="dcterms:W3CDTF">2015-02-03T16:50:00Z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יוסי ביילין</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03989306</vt:lpwstr>
  </property>
  <property fmtid="{D5CDD505-2E9C-101B-9397-08002B2CF9AE}" pid="10" name="מספר הצעת חוק למיון">
    <vt:lpwstr>1380</vt:lpwstr>
  </property>
  <property fmtid="{D5CDD505-2E9C-101B-9397-08002B2CF9AE}" pid="11" name="SDDocDate">
    <vt:lpwstr>2006-07-17T00:00:00Z</vt:lpwstr>
  </property>
  <property fmtid="{D5CDD505-2E9C-101B-9397-08002B2CF9AE}" pid="12" name="SDHebDate">
    <vt:lpwstr>כ"א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פ/1380/17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