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92EE5">
      <w:pPr>
        <w:pStyle w:val="a3"/>
        <w:spacing w:line="360" w:lineRule="auto"/>
        <w:rPr>
          <w:rFonts w:cs="David"/>
          <w:b w:val="0"/>
          <w:bCs w:val="0"/>
          <w:sz w:val="26"/>
          <w:szCs w:val="26"/>
          <w:u w:val="none"/>
          <w:rtl/>
        </w:rPr>
      </w:pPr>
      <w:bookmarkStart w:id="0" w:name="_GoBack"/>
      <w:bookmarkEnd w:id="0"/>
      <w:r>
        <w:rPr>
          <w:rFonts w:cs="David"/>
          <w:u w:val="none"/>
          <w:rtl/>
        </w:rPr>
        <w:t>הכנסת השבע - עשרה</w:t>
      </w:r>
    </w:p>
    <w:p w:rsidR="00000000" w:rsidRDefault="00892EE5">
      <w:pPr>
        <w:tabs>
          <w:tab w:val="left" w:pos="2734"/>
        </w:tabs>
        <w:spacing w:line="360" w:lineRule="auto"/>
        <w:ind w:left="-9" w:firstLine="9"/>
        <w:rPr>
          <w:rFonts w:cs="David"/>
          <w:sz w:val="26"/>
          <w:szCs w:val="26"/>
          <w:rtl/>
        </w:rPr>
      </w:pPr>
    </w:p>
    <w:tbl>
      <w:tblPr>
        <w:bidiVisual/>
        <w:tblW w:w="0" w:type="auto"/>
        <w:tblInd w:w="2834" w:type="dxa"/>
        <w:tblBorders>
          <w:bottom w:val="single" w:sz="4" w:space="0" w:color="auto"/>
        </w:tblBorders>
        <w:tblLook w:val="0000" w:firstRow="0" w:lastRow="0" w:firstColumn="0" w:lastColumn="0" w:noHBand="0" w:noVBand="0"/>
      </w:tblPr>
      <w:tblGrid>
        <w:gridCol w:w="4428"/>
      </w:tblGrid>
      <w:tr w:rsidR="00000000">
        <w:tblPrEx>
          <w:tblCellMar>
            <w:top w:w="0" w:type="dxa"/>
            <w:bottom w:w="0" w:type="dxa"/>
          </w:tblCellMar>
        </w:tblPrEx>
        <w:trPr>
          <w:cantSplit/>
        </w:trPr>
        <w:tc>
          <w:tcPr>
            <w:tcW w:w="4428" w:type="dxa"/>
            <w:tcBorders>
              <w:top w:val="nil"/>
              <w:left w:val="nil"/>
              <w:bottom w:val="single" w:sz="4" w:space="0" w:color="auto"/>
              <w:right w:val="nil"/>
            </w:tcBorders>
          </w:tcPr>
          <w:p w:rsidR="00000000" w:rsidRDefault="00892EE5">
            <w:pPr>
              <w:tabs>
                <w:tab w:val="left" w:pos="2770"/>
                <w:tab w:val="left" w:pos="6192"/>
              </w:tabs>
              <w:spacing w:after="120"/>
              <w:ind w:firstLine="11"/>
              <w:jc w:val="right"/>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ניסן סלומינסקי</w:t>
            </w:r>
          </w:p>
        </w:tc>
      </w:tr>
    </w:tbl>
    <w:p w:rsidR="00000000" w:rsidRDefault="00892EE5">
      <w:pPr>
        <w:spacing w:line="360" w:lineRule="auto"/>
        <w:jc w:val="center"/>
        <w:rPr>
          <w:rFonts w:cs="David"/>
          <w:b/>
          <w:bCs/>
          <w:sz w:val="32"/>
          <w:szCs w:val="32"/>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t xml:space="preserve">                      </w:t>
      </w:r>
      <w:r>
        <w:rPr>
          <w:rFonts w:cs="David"/>
          <w:b/>
          <w:bCs/>
          <w:sz w:val="26"/>
          <w:szCs w:val="26"/>
          <w:rtl/>
        </w:rPr>
        <w:t>פ/1587/17</w:t>
      </w:r>
    </w:p>
    <w:p w:rsidR="00000000" w:rsidRDefault="00892EE5">
      <w:pPr>
        <w:spacing w:line="360" w:lineRule="auto"/>
        <w:jc w:val="center"/>
        <w:rPr>
          <w:rFonts w:cs="David"/>
          <w:b/>
          <w:bCs/>
          <w:sz w:val="28"/>
          <w:szCs w:val="28"/>
          <w:rtl/>
        </w:rPr>
      </w:pPr>
      <w:r>
        <w:rPr>
          <w:rFonts w:cs="David"/>
          <w:b/>
          <w:bCs/>
          <w:sz w:val="28"/>
          <w:szCs w:val="28"/>
          <w:rtl/>
        </w:rPr>
        <w:t>הצעת חוק העונשין (תיקון - תחילת תקופת התנאי), התשס"ו-2006</w:t>
      </w:r>
    </w:p>
    <w:p w:rsidR="00000000" w:rsidRDefault="00892EE5">
      <w:pPr>
        <w:spacing w:line="360" w:lineRule="auto"/>
        <w:rPr>
          <w:rFonts w:cs="David"/>
          <w:sz w:val="26"/>
          <w:szCs w:val="26"/>
          <w:rtl/>
        </w:rPr>
      </w:pPr>
    </w:p>
    <w:tbl>
      <w:tblPr>
        <w:bidiVisual/>
        <w:tblW w:w="8543" w:type="dxa"/>
        <w:tblInd w:w="-123" w:type="dxa"/>
        <w:tblCellMar>
          <w:left w:w="57" w:type="dxa"/>
          <w:right w:w="57" w:type="dxa"/>
        </w:tblCellMar>
        <w:tblLook w:val="0000" w:firstRow="0" w:lastRow="0" w:firstColumn="0" w:lastColumn="0" w:noHBand="0" w:noVBand="0"/>
      </w:tblPr>
      <w:tblGrid>
        <w:gridCol w:w="983"/>
        <w:gridCol w:w="540"/>
        <w:gridCol w:w="7020"/>
      </w:tblGrid>
      <w:tr w:rsidR="00000000">
        <w:tblPrEx>
          <w:tblCellMar>
            <w:top w:w="0" w:type="dxa"/>
            <w:bottom w:w="0" w:type="dxa"/>
          </w:tblCellMar>
        </w:tblPrEx>
        <w:trPr>
          <w:cantSplit/>
        </w:trPr>
        <w:tc>
          <w:tcPr>
            <w:tcW w:w="983" w:type="dxa"/>
            <w:tcBorders>
              <w:top w:val="nil"/>
              <w:left w:val="nil"/>
              <w:bottom w:val="nil"/>
              <w:right w:val="nil"/>
            </w:tcBorders>
          </w:tcPr>
          <w:p w:rsidR="00000000" w:rsidRDefault="00892EE5">
            <w:pPr>
              <w:spacing w:after="120"/>
              <w:rPr>
                <w:rFonts w:cs="David"/>
                <w:sz w:val="26"/>
                <w:szCs w:val="26"/>
              </w:rPr>
            </w:pPr>
            <w:r>
              <w:rPr>
                <w:rFonts w:cs="David"/>
                <w:sz w:val="26"/>
                <w:szCs w:val="26"/>
                <w:rtl/>
              </w:rPr>
              <w:t>תי</w:t>
            </w:r>
            <w:r>
              <w:rPr>
                <w:rFonts w:cs="David"/>
                <w:sz w:val="26"/>
                <w:szCs w:val="26"/>
                <w:rtl/>
              </w:rPr>
              <w:t xml:space="preserve">קון סעיף 52 </w:t>
            </w:r>
          </w:p>
        </w:tc>
        <w:tc>
          <w:tcPr>
            <w:tcW w:w="540" w:type="dxa"/>
            <w:tcBorders>
              <w:top w:val="nil"/>
              <w:left w:val="nil"/>
              <w:bottom w:val="nil"/>
              <w:right w:val="nil"/>
            </w:tcBorders>
          </w:tcPr>
          <w:p w:rsidR="00000000" w:rsidRDefault="00892EE5">
            <w:pPr>
              <w:spacing w:after="120" w:line="360" w:lineRule="auto"/>
              <w:rPr>
                <w:rFonts w:cs="David"/>
                <w:sz w:val="26"/>
                <w:szCs w:val="26"/>
              </w:rPr>
            </w:pPr>
            <w:r>
              <w:rPr>
                <w:rFonts w:cs="David"/>
                <w:sz w:val="26"/>
                <w:szCs w:val="26"/>
                <w:rtl/>
              </w:rPr>
              <w:t xml:space="preserve">1. </w:t>
            </w:r>
          </w:p>
        </w:tc>
        <w:tc>
          <w:tcPr>
            <w:tcW w:w="7020" w:type="dxa"/>
            <w:tcBorders>
              <w:top w:val="nil"/>
              <w:left w:val="nil"/>
              <w:bottom w:val="nil"/>
              <w:right w:val="nil"/>
            </w:tcBorders>
          </w:tcPr>
          <w:p w:rsidR="00000000" w:rsidRDefault="00892EE5">
            <w:pPr>
              <w:spacing w:after="120" w:line="360" w:lineRule="auto"/>
              <w:jc w:val="both"/>
              <w:rPr>
                <w:rFonts w:cs="David"/>
                <w:sz w:val="26"/>
                <w:szCs w:val="26"/>
              </w:rPr>
            </w:pPr>
            <w:r>
              <w:rPr>
                <w:rFonts w:cs="David"/>
                <w:sz w:val="26"/>
                <w:szCs w:val="26"/>
                <w:rtl/>
              </w:rPr>
              <w:t>בחוק העונשין, תשל"ז-1977</w:t>
            </w:r>
            <w:r>
              <w:rPr>
                <w:rStyle w:val="aa"/>
                <w:rFonts w:cs="David"/>
                <w:sz w:val="26"/>
                <w:szCs w:val="26"/>
                <w:rtl/>
              </w:rPr>
              <w:footnoteReference w:id="1"/>
            </w:r>
            <w:r>
              <w:rPr>
                <w:rFonts w:cs="David"/>
                <w:sz w:val="26"/>
                <w:szCs w:val="26"/>
                <w:rtl/>
              </w:rPr>
              <w:t>, בסעיף 52, סעיף קטן (ג), אחרי "נושא אותו זמן עונש מאסר" יבוא "למעט ריצויו בעבודות שירות מכח סימן ב1 לפרקו"</w:t>
            </w:r>
          </w:p>
        </w:tc>
      </w:tr>
    </w:tbl>
    <w:p w:rsidR="00000000" w:rsidRDefault="00892EE5">
      <w:pPr>
        <w:rPr>
          <w:rFonts w:cs="David"/>
          <w:sz w:val="28"/>
          <w:szCs w:val="28"/>
          <w:rtl/>
        </w:rPr>
      </w:pPr>
      <w:r>
        <w:rPr>
          <w:rFonts w:cs="David"/>
          <w:sz w:val="26"/>
          <w:szCs w:val="26"/>
          <w:rtl/>
        </w:rPr>
        <w:t xml:space="preserve">                                                                 </w:t>
      </w:r>
      <w:r>
        <w:rPr>
          <w:rFonts w:cs="David"/>
          <w:b/>
          <w:bCs/>
          <w:sz w:val="28"/>
          <w:szCs w:val="28"/>
          <w:u w:val="single"/>
          <w:rtl/>
        </w:rPr>
        <w:t>דברי-הסבר</w:t>
      </w:r>
    </w:p>
    <w:p w:rsidR="00000000" w:rsidRDefault="00892EE5">
      <w:pPr>
        <w:rPr>
          <w:rFonts w:cs="David"/>
          <w:sz w:val="26"/>
          <w:szCs w:val="26"/>
          <w:rtl/>
        </w:rPr>
      </w:pPr>
    </w:p>
    <w:p w:rsidR="00000000" w:rsidRDefault="00892EE5">
      <w:pPr>
        <w:jc w:val="both"/>
        <w:rPr>
          <w:rFonts w:cs="David"/>
          <w:sz w:val="26"/>
          <w:szCs w:val="26"/>
        </w:rPr>
      </w:pPr>
      <w:r>
        <w:rPr>
          <w:rFonts w:cs="David"/>
          <w:sz w:val="26"/>
          <w:szCs w:val="26"/>
          <w:rtl/>
        </w:rPr>
        <w:t>הבע</w:t>
      </w:r>
      <w:r>
        <w:rPr>
          <w:rFonts w:cs="David"/>
          <w:sz w:val="26"/>
          <w:szCs w:val="26"/>
          <w:rtl/>
        </w:rPr>
        <w:t>ייתיות בחוק הנוכחי היא כי חסרה בה האבחנה ההכרחית בין תקופת ריצוי עונש מאסר בכליאה, לבין ריצוי עונש מאסר בעבודות שירות, לעניין ריצוי תקופת התנאי, הניתנת כחלק מגזר הדין .</w:t>
      </w:r>
    </w:p>
    <w:p w:rsidR="00000000" w:rsidRDefault="00892EE5">
      <w:pPr>
        <w:pStyle w:val="NormalWeb"/>
        <w:bidi/>
        <w:jc w:val="both"/>
        <w:rPr>
          <w:rFonts w:ascii="Times New Roman" w:eastAsia="Times New Roman" w:hAnsi="Times New Roman" w:cs="David"/>
          <w:sz w:val="26"/>
          <w:szCs w:val="26"/>
          <w:rtl/>
        </w:rPr>
      </w:pPr>
      <w:r>
        <w:rPr>
          <w:rFonts w:ascii="Times New Roman" w:eastAsia="Times New Roman" w:hAnsi="Times New Roman" w:cs="David"/>
          <w:sz w:val="26"/>
          <w:szCs w:val="26"/>
          <w:rtl/>
        </w:rPr>
        <w:t>אבחנה זו הכרחית שכן אין דומה אסיר היושב בכליאה לאסיר שמבצע עבודות שירות לעניין ההרתעה ה</w:t>
      </w:r>
      <w:r>
        <w:rPr>
          <w:rFonts w:ascii="Times New Roman" w:eastAsia="Times New Roman" w:hAnsi="Times New Roman" w:cs="David"/>
          <w:sz w:val="26"/>
          <w:szCs w:val="26"/>
          <w:rtl/>
        </w:rPr>
        <w:t>נדרשת. אסיר היושב מאחורי סורג ובריח, אין באפשרותו ממילא להפר את התנאי, ועל כן מן הראוי כי תקופת התנאי תחל ביום שחרורו מהכלא. עם זאת, אסיר המרצה את עונשו בעבודות שירות, הרי הוא כאדם חופשי בכל הנוגע להזדמנות לחזור ולבצע את המעשה שבגינו הוטל עליו התנאי, ועל כ</w:t>
      </w:r>
      <w:r>
        <w:rPr>
          <w:rFonts w:ascii="Times New Roman" w:eastAsia="Times New Roman" w:hAnsi="Times New Roman" w:cs="David"/>
          <w:sz w:val="26"/>
          <w:szCs w:val="26"/>
          <w:rtl/>
        </w:rPr>
        <w:t xml:space="preserve">ן יש צורך להרתיעו מלעשות כן- כבר מיום מתן גזר הדין. </w:t>
      </w:r>
    </w:p>
    <w:p w:rsidR="00000000" w:rsidRDefault="00892EE5">
      <w:pPr>
        <w:jc w:val="both"/>
        <w:rPr>
          <w:rFonts w:cs="David"/>
          <w:sz w:val="26"/>
          <w:szCs w:val="26"/>
          <w:rtl/>
        </w:rPr>
      </w:pPr>
      <w:r>
        <w:rPr>
          <w:rFonts w:cs="David"/>
          <w:sz w:val="26"/>
          <w:szCs w:val="26"/>
          <w:rtl/>
        </w:rPr>
        <w:t>על כן מוצע בזאת להכניס מפורשות בגוף החוק הוראה המורה כי כאשר מדובר בעונש מאסר בעבודות שירות תחל תקופת התנאי ביום מתן גזר הדין ולא ביום שחרורו מן המאסר.</w:t>
      </w:r>
    </w:p>
    <w:p w:rsidR="00000000" w:rsidRDefault="00892EE5">
      <w:pPr>
        <w:pStyle w:val="2"/>
        <w:rPr>
          <w:rFonts w:ascii="Times New Roman" w:hAnsi="Times New Roman" w:cs="David"/>
          <w:b w:val="0"/>
          <w:bCs w:val="0"/>
          <w:i w:val="0"/>
          <w:iCs w:val="0"/>
          <w:sz w:val="26"/>
          <w:szCs w:val="26"/>
          <w:rtl/>
        </w:rPr>
      </w:pPr>
      <w:r>
        <w:rPr>
          <w:rFonts w:ascii="Times New Roman" w:hAnsi="Times New Roman" w:cs="David"/>
          <w:b w:val="0"/>
          <w:bCs w:val="0"/>
          <w:i w:val="0"/>
          <w:iCs w:val="0"/>
          <w:sz w:val="26"/>
          <w:szCs w:val="26"/>
          <w:rtl/>
        </w:rPr>
        <w:t>הצעת חוק זהה הונחה על שולחן הכנסת השש-עשרה על ידי ח</w:t>
      </w:r>
      <w:r>
        <w:rPr>
          <w:rFonts w:ascii="Times New Roman" w:hAnsi="Times New Roman" w:cs="David"/>
          <w:b w:val="0"/>
          <w:bCs w:val="0"/>
          <w:i w:val="0"/>
          <w:iCs w:val="0"/>
          <w:sz w:val="26"/>
          <w:szCs w:val="26"/>
          <w:rtl/>
        </w:rPr>
        <w:t>ברת הכנסת ניסן סלומינסקי (פ/4134).</w:t>
      </w:r>
    </w:p>
    <w:p w:rsidR="00000000" w:rsidRDefault="00892EE5">
      <w:pPr>
        <w:pStyle w:val="2"/>
        <w:rPr>
          <w:rFonts w:ascii="Times New Roman" w:hAnsi="Times New Roman" w:cs="David"/>
          <w:b w:val="0"/>
          <w:bCs w:val="0"/>
          <w:i w:val="0"/>
          <w:iCs w:val="0"/>
          <w:sz w:val="26"/>
          <w:szCs w:val="26"/>
          <w:rtl/>
        </w:rPr>
      </w:pPr>
      <w:r>
        <w:rPr>
          <w:rFonts w:ascii="Times New Roman" w:hAnsi="Times New Roman" w:cs="David"/>
          <w:b w:val="0"/>
          <w:bCs w:val="0"/>
          <w:i w:val="0"/>
          <w:iCs w:val="0"/>
          <w:sz w:val="26"/>
          <w:szCs w:val="26"/>
          <w:rtl/>
        </w:rPr>
        <w:t>-----------------</w:t>
      </w:r>
    </w:p>
    <w:p w:rsidR="00000000" w:rsidRDefault="00892EE5">
      <w:pPr>
        <w:pStyle w:val="2"/>
        <w:rPr>
          <w:rFonts w:ascii="Times New Roman" w:hAnsi="Times New Roman" w:cs="David"/>
          <w:b w:val="0"/>
          <w:bCs w:val="0"/>
          <w:i w:val="0"/>
          <w:iCs w:val="0"/>
          <w:sz w:val="26"/>
          <w:szCs w:val="26"/>
          <w:rtl/>
        </w:rPr>
      </w:pPr>
      <w:r>
        <w:rPr>
          <w:rFonts w:ascii="Times New Roman" w:hAnsi="Times New Roman" w:cs="David"/>
          <w:b w:val="0"/>
          <w:bCs w:val="0"/>
          <w:i w:val="0"/>
          <w:iCs w:val="0"/>
          <w:sz w:val="26"/>
          <w:szCs w:val="26"/>
          <w:rtl/>
        </w:rPr>
        <w:t>הוגשה ליו"ר הכנסת והסגנים</w:t>
      </w:r>
    </w:p>
    <w:p w:rsidR="00000000" w:rsidRDefault="00892EE5">
      <w:pPr>
        <w:pStyle w:val="2"/>
        <w:rPr>
          <w:rFonts w:ascii="Times New Roman" w:hAnsi="Times New Roman" w:cs="David"/>
          <w:b w:val="0"/>
          <w:bCs w:val="0"/>
          <w:i w:val="0"/>
          <w:iCs w:val="0"/>
          <w:sz w:val="26"/>
          <w:szCs w:val="26"/>
          <w:rtl/>
        </w:rPr>
      </w:pPr>
      <w:r>
        <w:rPr>
          <w:rFonts w:ascii="Times New Roman" w:hAnsi="Times New Roman" w:cs="David"/>
          <w:b w:val="0"/>
          <w:bCs w:val="0"/>
          <w:i w:val="0"/>
          <w:iCs w:val="0"/>
          <w:sz w:val="26"/>
          <w:szCs w:val="26"/>
          <w:rtl/>
        </w:rPr>
        <w:t>והונחה על שולחן הכנסת ביום</w:t>
      </w:r>
    </w:p>
    <w:p w:rsidR="00000000" w:rsidRDefault="00892EE5">
      <w:pPr>
        <w:pStyle w:val="2"/>
        <w:rPr>
          <w:rFonts w:ascii="Times New Roman" w:hAnsi="Times New Roman" w:cs="David"/>
          <w:b w:val="0"/>
          <w:bCs w:val="0"/>
          <w:i w:val="0"/>
          <w:iCs w:val="0"/>
          <w:sz w:val="26"/>
          <w:szCs w:val="26"/>
          <w:rtl/>
        </w:rPr>
      </w:pPr>
      <w:r>
        <w:rPr>
          <w:rFonts w:ascii="Times New Roman" w:hAnsi="Times New Roman" w:cs="David"/>
          <w:b w:val="0"/>
          <w:bCs w:val="0"/>
          <w:i w:val="0"/>
          <w:iCs w:val="0"/>
          <w:sz w:val="26"/>
          <w:szCs w:val="26"/>
          <w:rtl/>
        </w:rPr>
        <w:t xml:space="preserve">א בחשון התשס"ז - 23.10.06 </w:t>
      </w:r>
    </w:p>
    <w:p w:rsidR="00000000" w:rsidRDefault="00892EE5">
      <w:pPr>
        <w:pStyle w:val="a3"/>
        <w:jc w:val="left"/>
        <w:rPr>
          <w:rFonts w:cs="David"/>
          <w:u w:val="none"/>
        </w:rPr>
      </w:pPr>
    </w:p>
    <w:p w:rsidR="00000000" w:rsidRDefault="00892EE5">
      <w:pPr>
        <w:pStyle w:val="a3"/>
        <w:spacing w:line="360" w:lineRule="auto"/>
        <w:jc w:val="left"/>
        <w:rPr>
          <w:rFonts w:cs="David"/>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92EE5">
      <w:r>
        <w:separator/>
      </w:r>
    </w:p>
  </w:endnote>
  <w:endnote w:type="continuationSeparator" w:id="0">
    <w:p w:rsidR="00000000" w:rsidRDefault="00892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92EE5">
      <w:r>
        <w:separator/>
      </w:r>
    </w:p>
  </w:footnote>
  <w:footnote w:type="continuationSeparator" w:id="0">
    <w:p w:rsidR="00000000" w:rsidRDefault="00892EE5">
      <w:r>
        <w:continuationSeparator/>
      </w:r>
    </w:p>
  </w:footnote>
  <w:footnote w:id="1">
    <w:p w:rsidR="00000000" w:rsidRDefault="00892EE5">
      <w:pPr>
        <w:pStyle w:val="a8"/>
      </w:pPr>
      <w:r>
        <w:rPr>
          <w:rStyle w:val="aa"/>
          <w:rFonts w:cs="David"/>
        </w:rPr>
        <w:footnoteRef/>
      </w:r>
      <w:r>
        <w:rPr>
          <w:rFonts w:cs="David"/>
        </w:rPr>
        <w:t xml:space="preserve"> </w:t>
      </w:r>
      <w:r>
        <w:rPr>
          <w:rFonts w:cs="David"/>
          <w:rtl/>
        </w:rPr>
        <w:t xml:space="preserve"> ס"ח התשל"ז, ע"מ 226.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2EE5">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892EE5">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4492ðéñï ñìåîéðñ÷é - çå÷ äòåðùéï úçéìú ú÷åôú äúðàé.doc"/>
    <w:docVar w:name="StartMode" w:val="2"/>
  </w:docVars>
  <w:rsids>
    <w:rsidRoot w:val="00892EE5"/>
    <w:rsid w:val="00892E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2">
    <w:name w:val="heading 2"/>
    <w:basedOn w:val="a"/>
    <w:next w:val="a"/>
    <w:link w:val="20"/>
    <w:uiPriority w:val="99"/>
    <w:qFormat/>
    <w:pPr>
      <w:keepNext/>
      <w:spacing w:before="240" w:after="60"/>
      <w:outlineLvl w:val="1"/>
    </w:pPr>
    <w:rPr>
      <w:rFonts w:ascii="Arial" w:eastAsia="Times New Roman" w:hAnsi="Arial"/>
      <w:b/>
      <w:bCs/>
      <w:i/>
      <w:iCs/>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NormalWeb">
    <w:name w:val="Normal (Web)"/>
    <w:basedOn w:val="a"/>
    <w:uiPriority w:val="99"/>
    <w:pPr>
      <w:bidi w:val="0"/>
      <w:spacing w:before="100" w:beforeAutospacing="1" w:after="100" w:afterAutospacing="1"/>
    </w:pPr>
    <w:rPr>
      <w:rFonts w:ascii="Arial Unicode MS" w:eastAsia="Arial Unicode MS" w:hAnsi="Arial Unicode MS" w:cs="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1074</Characters>
  <Application>Microsoft Office Word</Application>
  <DocSecurity>0</DocSecurity>
  <Lines>8</Lines>
  <Paragraphs>2</Paragraphs>
  <ScaleCrop>false</ScaleCrop>
  <Company>knesset</Company>
  <LinksUpToDate>false</LinksUpToDate>
  <CharactersWithSpaces>1286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(תיקון - תחילת תקופת התנאי), התשס"ז-2006</dc:title>
  <dc:subject/>
  <dc:creator>Knesset</dc:creator>
  <cp:keywords/>
  <dc:description/>
  <cp:lastModifiedBy>שמואל כוכב</cp:lastModifiedBy>
  <cp:revision>2</cp:revision>
  <dcterms:created xsi:type="dcterms:W3CDTF">2015-02-03T17:01:00Z</dcterms:created>
  <dcterms:modified xsi:type="dcterms:W3CDTF">2015-02-03T17:01:00Z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ניסן סלומינסקי</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05027106</vt:lpwstr>
  </property>
  <property fmtid="{D5CDD505-2E9C-101B-9397-08002B2CF9AE}" pid="10" name="מספר הצעת חוק למיון">
    <vt:lpwstr>1587</vt:lpwstr>
  </property>
  <property fmtid="{D5CDD505-2E9C-101B-9397-08002B2CF9AE}" pid="11" name="SDDocDate">
    <vt:lpwstr>2006-10-17T00:00:00Z</vt:lpwstr>
  </property>
  <property fmtid="{D5CDD505-2E9C-101B-9397-08002B2CF9AE}" pid="12" name="SDHebDate">
    <vt:lpwstr>כ"ה בתשרי, התשס"ז</vt:lpwstr>
  </property>
  <property fmtid="{D5CDD505-2E9C-101B-9397-08002B2CF9AE}" pid="13" name="SDCategories">
    <vt:lpwstr>:דף הבית:נושאים:חקיקה:נוסח לדיון מוקדם;#</vt:lpwstr>
  </property>
  <property fmtid="{D5CDD505-2E9C-101B-9397-08002B2CF9AE}" pid="14" name="תאריך הנחה">
    <vt:lpwstr/>
  </property>
  <property fmtid="{D5CDD505-2E9C-101B-9397-08002B2CF9AE}" pid="15" name="Vaada">
    <vt:lpwstr/>
  </property>
  <property fmtid="{D5CDD505-2E9C-101B-9397-08002B2CF9AE}" pid="16" name="HebrewDate">
    <vt:lpwstr/>
  </property>
  <property fmtid="{D5CDD505-2E9C-101B-9397-08002B2CF9AE}" pid="17" name="SDAuthor">
    <vt:lpwstr>עדי טייכר</vt:lpwstr>
  </property>
  <property fmtid="{D5CDD505-2E9C-101B-9397-08002B2CF9AE}" pid="18" name="MechaberMismach">
    <vt:lpwstr/>
  </property>
  <property fmtid="{D5CDD505-2E9C-101B-9397-08002B2CF9AE}" pid="19" name="MisHatzaatChok">
    <vt:lpwstr>פ/1587/17</vt:lpwstr>
  </property>
  <property fmtid="{D5CDD505-2E9C-101B-9397-08002B2CF9AE}" pid="20" name="SDRemark">
    <vt:lpwstr/>
  </property>
  <property fmtid="{D5CDD505-2E9C-101B-9397-08002B2CF9AE}" pid="21" name="SDOfflineTo">
    <vt:lpwstr/>
  </property>
  <property fmtid="{D5CDD505-2E9C-101B-9397-08002B2CF9AE}" pid="22" name="SDDistList">
    <vt:lpwstr/>
  </property>
  <property fmtid="{D5CDD505-2E9C-101B-9397-08002B2CF9AE}" pid="23" name="SDDistDate">
    <vt:lpwstr/>
  </property>
  <property fmtid="{D5CDD505-2E9C-101B-9397-08002B2CF9AE}" pid="24" name="SDOriginalID">
    <vt:lpwstr/>
  </property>
  <property fmtid="{D5CDD505-2E9C-101B-9397-08002B2CF9AE}" pid="25" name="SDSenderName">
    <vt:lpwstr/>
  </property>
  <property fmtid="{D5CDD505-2E9C-101B-9397-08002B2CF9AE}" pid="26" name="SDToList">
    <vt:lpwstr/>
  </property>
  <property fmtid="{D5CDD505-2E9C-101B-9397-08002B2CF9AE}" pid="27" name="SDCCList">
    <vt:lpwstr/>
  </property>
  <property fmtid="{D5CDD505-2E9C-101B-9397-08002B2CF9AE}" pid="28" name="STHasReminders">
    <vt:lpwstr>0</vt:lpwstr>
  </property>
  <property fmtid="{D5CDD505-2E9C-101B-9397-08002B2CF9AE}" pid="29" name="SDLink">
    <vt:lpwstr>, </vt:lpwstr>
  </property>
  <property fmtid="{D5CDD505-2E9C-101B-9397-08002B2CF9AE}" pid="30" name="Num_Gim1">
    <vt:lpwstr/>
  </property>
  <property fmtid="{D5CDD505-2E9C-101B-9397-08002B2CF9AE}" pid="31" name="NoseA">
    <vt:lpwstr/>
  </property>
  <property fmtid="{D5CDD505-2E9C-101B-9397-08002B2CF9AE}" pid="32" name="NoseB">
    <vt:lpwstr/>
  </property>
  <property fmtid="{D5CDD505-2E9C-101B-9397-08002B2CF9AE}" pid="33" name="knesset_number">
    <vt:lpwstr/>
  </property>
  <property fmtid="{D5CDD505-2E9C-101B-9397-08002B2CF9AE}" pid="34" name="ValidFrom">
    <vt:lpwstr/>
  </property>
  <property fmtid="{D5CDD505-2E9C-101B-9397-08002B2CF9AE}" pid="35" name="ValidUntill">
    <vt:lpwstr/>
  </property>
  <property fmtid="{D5CDD505-2E9C-101B-9397-08002B2CF9AE}" pid="36" name="To1">
    <vt:lpwstr/>
  </property>
  <property fmtid="{D5CDD505-2E9C-101B-9397-08002B2CF9AE}" pid="37" name="From">
    <vt:lpwstr/>
  </property>
  <property fmtid="{D5CDD505-2E9C-101B-9397-08002B2CF9AE}" pid="38" name="body">
    <vt:lpwstr/>
  </property>
</Properties>
</file>