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464D5">
      <w:pPr>
        <w:pStyle w:val="a3"/>
        <w:bidi w:val="0"/>
        <w:rPr>
          <w:rFonts w:cs="David"/>
          <w:b w:val="0"/>
          <w:bCs w:val="0"/>
          <w:sz w:val="26"/>
          <w:szCs w:val="26"/>
          <w:u w:val="none"/>
          <w:rtl/>
        </w:rPr>
      </w:pPr>
      <w:bookmarkStart w:id="0" w:name="_GoBack"/>
      <w:bookmarkEnd w:id="0"/>
      <w:r>
        <w:rPr>
          <w:rFonts w:cs="David"/>
          <w:u w:val="none"/>
          <w:rtl/>
        </w:rPr>
        <w:t>הכנסת השבע-עשרה</w:t>
      </w:r>
    </w:p>
    <w:p w:rsidR="00000000" w:rsidRDefault="003464D5">
      <w:pPr>
        <w:rPr>
          <w:rFonts w:cs="David"/>
          <w:sz w:val="26"/>
          <w:szCs w:val="26"/>
          <w:rtl/>
        </w:rPr>
      </w:pPr>
    </w:p>
    <w:p w:rsidR="00000000" w:rsidRDefault="003464D5">
      <w:pPr>
        <w:rPr>
          <w:rFonts w:cs="David"/>
          <w:sz w:val="26"/>
          <w:szCs w:val="26"/>
          <w:rtl/>
        </w:rPr>
      </w:pPr>
    </w:p>
    <w:tbl>
      <w:tblPr>
        <w:bidiVisual/>
        <w:tblW w:w="0" w:type="auto"/>
        <w:tblInd w:w="2887" w:type="dxa"/>
        <w:tblBorders>
          <w:bottom w:val="single" w:sz="4" w:space="0" w:color="auto"/>
        </w:tblBorders>
        <w:tblLook w:val="0000" w:firstRow="0" w:lastRow="0" w:firstColumn="0" w:lastColumn="0" w:noHBand="0" w:noVBand="0"/>
      </w:tblPr>
      <w:tblGrid>
        <w:gridCol w:w="4608"/>
      </w:tblGrid>
      <w:tr w:rsidR="00000000">
        <w:tblPrEx>
          <w:tblCellMar>
            <w:top w:w="0" w:type="dxa"/>
            <w:bottom w:w="0" w:type="dxa"/>
          </w:tblCellMar>
        </w:tblPrEx>
        <w:tc>
          <w:tcPr>
            <w:tcW w:w="4608" w:type="dxa"/>
            <w:tcBorders>
              <w:top w:val="nil"/>
              <w:left w:val="nil"/>
              <w:bottom w:val="nil"/>
              <w:right w:val="nil"/>
            </w:tcBorders>
          </w:tcPr>
          <w:p w:rsidR="00000000" w:rsidRDefault="003464D5">
            <w:pPr>
              <w:tabs>
                <w:tab w:val="left" w:pos="2770"/>
                <w:tab w:val="left" w:pos="6192"/>
              </w:tabs>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חוק של חברי הכנסת</w:t>
            </w:r>
            <w:r>
              <w:rPr>
                <w:rFonts w:cs="David"/>
                <w:sz w:val="26"/>
                <w:szCs w:val="26"/>
                <w:rtl/>
              </w:rPr>
              <w:tab/>
            </w:r>
            <w:r>
              <w:rPr>
                <w:rFonts w:cs="David"/>
                <w:b/>
                <w:bCs/>
                <w:sz w:val="26"/>
                <w:szCs w:val="26"/>
                <w:rtl/>
              </w:rPr>
              <w:t>יורי שטרן</w:t>
            </w:r>
            <w:r>
              <w:rPr>
                <w:rFonts w:cs="David"/>
                <w:sz w:val="26"/>
                <w:szCs w:val="26"/>
                <w:rtl/>
              </w:rPr>
              <w:tab/>
            </w:r>
            <w:r>
              <w:rPr>
                <w:rFonts w:cs="David"/>
                <w:sz w:val="26"/>
                <w:szCs w:val="26"/>
                <w:rtl/>
              </w:rPr>
              <w:tab/>
            </w:r>
            <w:r>
              <w:rPr>
                <w:rFonts w:cs="David"/>
                <w:sz w:val="26"/>
                <w:szCs w:val="26"/>
                <w:rtl/>
              </w:rPr>
              <w:tab/>
            </w:r>
            <w:r>
              <w:rPr>
                <w:rFonts w:cs="David"/>
                <w:sz w:val="26"/>
                <w:szCs w:val="26"/>
                <w:rtl/>
              </w:rPr>
              <w:tab/>
            </w:r>
          </w:p>
        </w:tc>
      </w:tr>
      <w:tr w:rsidR="00000000">
        <w:tblPrEx>
          <w:tblCellMar>
            <w:top w:w="0" w:type="dxa"/>
            <w:bottom w:w="0" w:type="dxa"/>
          </w:tblCellMar>
        </w:tblPrEx>
        <w:tc>
          <w:tcPr>
            <w:tcW w:w="4608" w:type="dxa"/>
            <w:tcBorders>
              <w:top w:val="nil"/>
              <w:left w:val="nil"/>
              <w:bottom w:val="nil"/>
              <w:right w:val="nil"/>
            </w:tcBorders>
          </w:tcPr>
          <w:p w:rsidR="00000000" w:rsidRDefault="003464D5">
            <w:pPr>
              <w:tabs>
                <w:tab w:val="left" w:pos="2770"/>
                <w:tab w:val="left" w:pos="6192"/>
              </w:tabs>
              <w:ind w:firstLine="9"/>
              <w:rPr>
                <w:rFonts w:cs="David"/>
                <w:sz w:val="26"/>
                <w:szCs w:val="26"/>
                <w:rtl/>
              </w:rPr>
            </w:pPr>
            <w:r>
              <w:rPr>
                <w:rFonts w:cs="David"/>
                <w:sz w:val="26"/>
                <w:szCs w:val="26"/>
                <w:rtl/>
              </w:rPr>
              <w:tab/>
              <w:t>אלכס מילר</w:t>
            </w:r>
          </w:p>
        </w:tc>
      </w:tr>
      <w:tr w:rsidR="00000000">
        <w:tblPrEx>
          <w:tblCellMar>
            <w:top w:w="0" w:type="dxa"/>
            <w:bottom w:w="0" w:type="dxa"/>
          </w:tblCellMar>
        </w:tblPrEx>
        <w:tc>
          <w:tcPr>
            <w:tcW w:w="4608" w:type="dxa"/>
            <w:tcBorders>
              <w:top w:val="nil"/>
              <w:left w:val="nil"/>
              <w:bottom w:val="nil"/>
              <w:right w:val="nil"/>
            </w:tcBorders>
          </w:tcPr>
          <w:p w:rsidR="00000000" w:rsidRDefault="003464D5">
            <w:pPr>
              <w:tabs>
                <w:tab w:val="left" w:pos="2770"/>
                <w:tab w:val="left" w:pos="6192"/>
              </w:tabs>
              <w:ind w:firstLine="9"/>
              <w:rPr>
                <w:rFonts w:cs="David"/>
                <w:sz w:val="26"/>
                <w:szCs w:val="26"/>
                <w:rtl/>
              </w:rPr>
            </w:pPr>
            <w:r>
              <w:rPr>
                <w:rFonts w:cs="David"/>
                <w:sz w:val="26"/>
                <w:szCs w:val="26"/>
                <w:rtl/>
              </w:rPr>
              <w:tab/>
              <w:t>יצחק אהרונוביץ</w:t>
            </w:r>
          </w:p>
        </w:tc>
      </w:tr>
      <w:tr w:rsidR="00000000">
        <w:tblPrEx>
          <w:tblCellMar>
            <w:top w:w="0" w:type="dxa"/>
            <w:bottom w:w="0" w:type="dxa"/>
          </w:tblCellMar>
        </w:tblPrEx>
        <w:tc>
          <w:tcPr>
            <w:tcW w:w="4608" w:type="dxa"/>
            <w:tcBorders>
              <w:top w:val="nil"/>
              <w:left w:val="nil"/>
              <w:bottom w:val="nil"/>
              <w:right w:val="nil"/>
            </w:tcBorders>
          </w:tcPr>
          <w:p w:rsidR="00000000" w:rsidRDefault="003464D5">
            <w:pPr>
              <w:tabs>
                <w:tab w:val="left" w:pos="2770"/>
                <w:tab w:val="left" w:pos="6192"/>
              </w:tabs>
              <w:ind w:firstLine="9"/>
              <w:rPr>
                <w:rFonts w:cs="David"/>
                <w:sz w:val="26"/>
                <w:szCs w:val="26"/>
                <w:rtl/>
              </w:rPr>
            </w:pPr>
            <w:r>
              <w:rPr>
                <w:rFonts w:cs="David"/>
                <w:sz w:val="26"/>
                <w:szCs w:val="26"/>
                <w:rtl/>
              </w:rPr>
              <w:tab/>
              <w:t>יוסף שגאל</w:t>
            </w:r>
          </w:p>
        </w:tc>
      </w:tr>
      <w:tr w:rsidR="00000000">
        <w:tblPrEx>
          <w:tblCellMar>
            <w:top w:w="0" w:type="dxa"/>
            <w:bottom w:w="0" w:type="dxa"/>
          </w:tblCellMar>
        </w:tblPrEx>
        <w:tc>
          <w:tcPr>
            <w:tcW w:w="4608" w:type="dxa"/>
            <w:tcBorders>
              <w:top w:val="nil"/>
              <w:left w:val="nil"/>
              <w:bottom w:val="single" w:sz="4" w:space="0" w:color="auto"/>
              <w:right w:val="nil"/>
            </w:tcBorders>
          </w:tcPr>
          <w:p w:rsidR="00000000" w:rsidRDefault="003464D5">
            <w:pPr>
              <w:tabs>
                <w:tab w:val="left" w:pos="2770"/>
                <w:tab w:val="left" w:pos="6192"/>
              </w:tabs>
              <w:ind w:firstLine="9"/>
              <w:rPr>
                <w:rFonts w:cs="David"/>
                <w:sz w:val="26"/>
                <w:szCs w:val="26"/>
                <w:rtl/>
              </w:rPr>
            </w:pPr>
            <w:r>
              <w:rPr>
                <w:rFonts w:cs="David"/>
                <w:sz w:val="26"/>
                <w:szCs w:val="26"/>
                <w:rtl/>
              </w:rPr>
              <w:tab/>
              <w:t>סטס מיסז'ניקוב</w:t>
            </w:r>
          </w:p>
        </w:tc>
      </w:tr>
    </w:tbl>
    <w:p w:rsidR="00000000" w:rsidRDefault="003464D5">
      <w:pPr>
        <w:rPr>
          <w:rFonts w:cs="David"/>
          <w:b/>
          <w:bCs/>
          <w:sz w:val="26"/>
          <w:szCs w:val="26"/>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89.85pt;margin-top:2pt;width:54pt;height:18pt;z-index:251658240;mso-position-horizontal-relative:text;mso-position-vertical-relative:text" stroked="f">
            <v:textbox style="mso-next-textbox:#_x0000_s1026" inset="0,0,0,0">
              <w:txbxContent>
                <w:p w:rsidR="00000000" w:rsidRDefault="003464D5">
                  <w:pPr>
                    <w:rPr>
                      <w:rtl/>
                    </w:rPr>
                  </w:pPr>
                </w:p>
              </w:txbxContent>
            </v:textbox>
            <w10:anchorlock/>
          </v:shape>
        </w:pict>
      </w:r>
      <w:r>
        <w:rPr>
          <w:rFonts w:cs="David"/>
          <w:sz w:val="26"/>
          <w:szCs w:val="26"/>
          <w:rtl/>
        </w:rPr>
        <w:t xml:space="preserve">                                                                                                 </w:t>
      </w:r>
      <w:r>
        <w:rPr>
          <w:rFonts w:cs="David"/>
          <w:b/>
          <w:bCs/>
          <w:sz w:val="26"/>
          <w:szCs w:val="26"/>
          <w:rtl/>
        </w:rPr>
        <w:t>פפפפפפפפפ/955/17</w:t>
      </w:r>
    </w:p>
    <w:p w:rsidR="00000000" w:rsidRDefault="003464D5">
      <w:pPr>
        <w:rPr>
          <w:rFonts w:cs="David"/>
          <w:sz w:val="26"/>
          <w:szCs w:val="26"/>
          <w:rtl/>
        </w:rPr>
      </w:pPr>
    </w:p>
    <w:p w:rsidR="00000000" w:rsidRDefault="003464D5">
      <w:pPr>
        <w:rPr>
          <w:rFonts w:cs="David"/>
          <w:sz w:val="26"/>
          <w:szCs w:val="26"/>
          <w:rtl/>
        </w:rPr>
      </w:pPr>
    </w:p>
    <w:p w:rsidR="00000000" w:rsidRDefault="003464D5">
      <w:pPr>
        <w:pStyle w:val="1"/>
        <w:rPr>
          <w:rFonts w:cs="David"/>
          <w:b w:val="0"/>
          <w:bCs w:val="0"/>
          <w:sz w:val="26"/>
          <w:szCs w:val="26"/>
          <w:u w:val="none"/>
          <w:rtl/>
        </w:rPr>
      </w:pPr>
      <w:r>
        <w:rPr>
          <w:rFonts w:cs="David"/>
          <w:u w:val="none"/>
          <w:rtl/>
        </w:rPr>
        <w:t>הצעת חוק נכי רדיפות הנאצים (תיקון - כפל קצבה), התשס"ו-2006</w:t>
      </w:r>
    </w:p>
    <w:p w:rsidR="00000000" w:rsidRDefault="003464D5">
      <w:pPr>
        <w:rPr>
          <w:rFonts w:cs="David"/>
          <w:sz w:val="26"/>
          <w:szCs w:val="26"/>
          <w:rtl/>
        </w:rPr>
      </w:pPr>
    </w:p>
    <w:p w:rsidR="00000000" w:rsidRDefault="003464D5">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2"/>
        <w:gridCol w:w="553"/>
        <w:gridCol w:w="6705"/>
      </w:tblGrid>
      <w:tr w:rsidR="00000000">
        <w:tc>
          <w:tcPr>
            <w:tcW w:w="1191" w:type="dxa"/>
            <w:tcBorders>
              <w:top w:val="nil"/>
              <w:left w:val="nil"/>
              <w:bottom w:val="nil"/>
              <w:right w:val="nil"/>
            </w:tcBorders>
          </w:tcPr>
          <w:p w:rsidR="00000000" w:rsidRDefault="003464D5">
            <w:pPr>
              <w:spacing w:after="120"/>
              <w:rPr>
                <w:rFonts w:cs="David"/>
                <w:sz w:val="26"/>
                <w:szCs w:val="26"/>
              </w:rPr>
            </w:pPr>
            <w:r>
              <w:rPr>
                <w:rFonts w:cs="David"/>
                <w:sz w:val="26"/>
                <w:szCs w:val="26"/>
                <w:rtl/>
              </w:rPr>
              <w:t>תיקון סעיף 1</w:t>
            </w:r>
          </w:p>
          <w:p w:rsidR="00000000" w:rsidRDefault="003464D5">
            <w:pPr>
              <w:spacing w:after="120"/>
              <w:rPr>
                <w:rFonts w:cs="David"/>
                <w:sz w:val="26"/>
                <w:szCs w:val="26"/>
              </w:rPr>
            </w:pPr>
          </w:p>
        </w:tc>
        <w:tc>
          <w:tcPr>
            <w:tcW w:w="567" w:type="dxa"/>
            <w:tcBorders>
              <w:top w:val="nil"/>
              <w:left w:val="nil"/>
              <w:bottom w:val="nil"/>
              <w:right w:val="nil"/>
            </w:tcBorders>
          </w:tcPr>
          <w:p w:rsidR="00000000" w:rsidRDefault="003464D5">
            <w:pPr>
              <w:spacing w:after="120"/>
              <w:rPr>
                <w:rFonts w:cs="David"/>
                <w:sz w:val="26"/>
                <w:szCs w:val="26"/>
              </w:rPr>
            </w:pPr>
            <w:r>
              <w:rPr>
                <w:rFonts w:cs="David"/>
                <w:sz w:val="26"/>
                <w:szCs w:val="26"/>
                <w:rtl/>
              </w:rPr>
              <w:t>1.</w:t>
            </w:r>
          </w:p>
        </w:tc>
        <w:tc>
          <w:tcPr>
            <w:tcW w:w="7025" w:type="dxa"/>
            <w:tcBorders>
              <w:top w:val="nil"/>
              <w:left w:val="nil"/>
              <w:bottom w:val="nil"/>
              <w:right w:val="nil"/>
            </w:tcBorders>
          </w:tcPr>
          <w:p w:rsidR="00000000" w:rsidRDefault="003464D5">
            <w:pPr>
              <w:spacing w:after="120"/>
              <w:jc w:val="both"/>
              <w:rPr>
                <w:rFonts w:cs="David"/>
                <w:sz w:val="26"/>
                <w:szCs w:val="26"/>
              </w:rPr>
            </w:pPr>
            <w:r>
              <w:rPr>
                <w:rFonts w:cs="David"/>
                <w:sz w:val="26"/>
                <w:szCs w:val="26"/>
                <w:rtl/>
              </w:rPr>
              <w:t>בחוק נכי רדיפות הנאצים, התשי"ז-1957</w:t>
            </w:r>
            <w:r>
              <w:rPr>
                <w:rStyle w:val="aa"/>
                <w:rFonts w:cs="David"/>
                <w:sz w:val="26"/>
                <w:szCs w:val="26"/>
              </w:rPr>
              <w:footnoteReference w:id="1"/>
            </w:r>
            <w:r>
              <w:rPr>
                <w:rFonts w:cs="David"/>
                <w:sz w:val="26"/>
                <w:szCs w:val="26"/>
                <w:rtl/>
              </w:rPr>
              <w:t xml:space="preserve"> (ל</w:t>
            </w:r>
            <w:r>
              <w:rPr>
                <w:rFonts w:cs="David"/>
                <w:sz w:val="26"/>
                <w:szCs w:val="26"/>
                <w:rtl/>
              </w:rPr>
              <w:t>הלן – החוק העיקרי), בסעיף 1, בהגדרה "הכנסה נוספת", בסופה יבוא "למעט קצבה לפי פרק י"א לחוק הביטוח לאומי [נוסח משולב], התשנ"ה-1995</w:t>
            </w:r>
            <w:r>
              <w:rPr>
                <w:rStyle w:val="aa"/>
                <w:rFonts w:cs="David"/>
                <w:sz w:val="26"/>
                <w:szCs w:val="26"/>
              </w:rPr>
              <w:footnoteReference w:id="2"/>
            </w:r>
            <w:r>
              <w:rPr>
                <w:rFonts w:cs="David"/>
                <w:sz w:val="26"/>
                <w:szCs w:val="26"/>
                <w:rtl/>
              </w:rPr>
              <w:t xml:space="preserve">". </w:t>
            </w:r>
          </w:p>
          <w:p w:rsidR="00000000" w:rsidRDefault="003464D5">
            <w:pPr>
              <w:spacing w:after="120"/>
              <w:jc w:val="both"/>
              <w:rPr>
                <w:rFonts w:cs="David"/>
                <w:sz w:val="26"/>
                <w:szCs w:val="26"/>
              </w:rPr>
            </w:pPr>
          </w:p>
        </w:tc>
      </w:tr>
      <w:tr w:rsidR="00000000">
        <w:tc>
          <w:tcPr>
            <w:tcW w:w="1191" w:type="dxa"/>
            <w:tcBorders>
              <w:top w:val="nil"/>
              <w:left w:val="nil"/>
              <w:bottom w:val="nil"/>
              <w:right w:val="nil"/>
            </w:tcBorders>
          </w:tcPr>
          <w:p w:rsidR="00000000" w:rsidRDefault="003464D5">
            <w:pPr>
              <w:spacing w:after="120"/>
              <w:rPr>
                <w:rFonts w:cs="David"/>
                <w:sz w:val="26"/>
                <w:szCs w:val="26"/>
              </w:rPr>
            </w:pPr>
            <w:r>
              <w:rPr>
                <w:rFonts w:cs="David"/>
                <w:sz w:val="26"/>
                <w:szCs w:val="26"/>
                <w:rtl/>
              </w:rPr>
              <w:t>ביטול סעיף 4ב</w:t>
            </w:r>
          </w:p>
        </w:tc>
        <w:tc>
          <w:tcPr>
            <w:tcW w:w="567" w:type="dxa"/>
            <w:tcBorders>
              <w:top w:val="nil"/>
              <w:left w:val="nil"/>
              <w:bottom w:val="nil"/>
              <w:right w:val="nil"/>
            </w:tcBorders>
          </w:tcPr>
          <w:p w:rsidR="00000000" w:rsidRDefault="003464D5">
            <w:pPr>
              <w:spacing w:after="120"/>
              <w:rPr>
                <w:rFonts w:cs="David"/>
                <w:sz w:val="26"/>
                <w:szCs w:val="26"/>
              </w:rPr>
            </w:pPr>
            <w:r>
              <w:rPr>
                <w:rFonts w:cs="David"/>
                <w:sz w:val="26"/>
                <w:szCs w:val="26"/>
                <w:rtl/>
              </w:rPr>
              <w:t>2.</w:t>
            </w:r>
          </w:p>
        </w:tc>
        <w:tc>
          <w:tcPr>
            <w:tcW w:w="7025" w:type="dxa"/>
            <w:tcBorders>
              <w:top w:val="nil"/>
              <w:left w:val="nil"/>
              <w:bottom w:val="nil"/>
              <w:right w:val="nil"/>
            </w:tcBorders>
          </w:tcPr>
          <w:p w:rsidR="00000000" w:rsidRDefault="003464D5">
            <w:pPr>
              <w:spacing w:after="120"/>
              <w:jc w:val="both"/>
              <w:rPr>
                <w:rFonts w:cs="David"/>
                <w:sz w:val="26"/>
                <w:szCs w:val="26"/>
              </w:rPr>
            </w:pPr>
            <w:r>
              <w:rPr>
                <w:rFonts w:cs="David"/>
                <w:sz w:val="26"/>
                <w:szCs w:val="26"/>
                <w:rtl/>
              </w:rPr>
              <w:t>סעיף 4ב לחוק העיקרי – בטל.</w:t>
            </w:r>
          </w:p>
          <w:p w:rsidR="00000000" w:rsidRDefault="003464D5">
            <w:pPr>
              <w:spacing w:after="120"/>
              <w:jc w:val="both"/>
              <w:rPr>
                <w:rFonts w:cs="David"/>
                <w:sz w:val="26"/>
                <w:szCs w:val="26"/>
              </w:rPr>
            </w:pPr>
          </w:p>
        </w:tc>
      </w:tr>
    </w:tbl>
    <w:p w:rsidR="00000000" w:rsidRDefault="003464D5">
      <w:pPr>
        <w:jc w:val="center"/>
        <w:rPr>
          <w:rFonts w:cs="David"/>
          <w:b/>
          <w:bCs/>
          <w:sz w:val="28"/>
          <w:szCs w:val="28"/>
          <w:u w:val="single"/>
          <w:rtl/>
        </w:rPr>
      </w:pPr>
    </w:p>
    <w:p w:rsidR="00000000" w:rsidRDefault="003464D5">
      <w:pPr>
        <w:jc w:val="center"/>
        <w:rPr>
          <w:rFonts w:cs="David"/>
          <w:b/>
          <w:bCs/>
          <w:sz w:val="28"/>
          <w:szCs w:val="28"/>
          <w:u w:val="single"/>
          <w:rtl/>
        </w:rPr>
      </w:pPr>
      <w:r>
        <w:rPr>
          <w:rFonts w:cs="David"/>
          <w:b/>
          <w:bCs/>
          <w:sz w:val="28"/>
          <w:szCs w:val="28"/>
          <w:u w:val="single"/>
          <w:rtl/>
        </w:rPr>
        <w:t>דברי-הסבר</w:t>
      </w:r>
    </w:p>
    <w:p w:rsidR="00000000" w:rsidRDefault="003464D5">
      <w:pPr>
        <w:jc w:val="both"/>
        <w:rPr>
          <w:rFonts w:cs="David"/>
          <w:sz w:val="26"/>
          <w:szCs w:val="26"/>
          <w:rtl/>
        </w:rPr>
      </w:pPr>
    </w:p>
    <w:p w:rsidR="00000000" w:rsidRDefault="003464D5">
      <w:pPr>
        <w:jc w:val="both"/>
        <w:rPr>
          <w:rFonts w:cs="David"/>
          <w:sz w:val="26"/>
          <w:szCs w:val="26"/>
          <w:rtl/>
        </w:rPr>
      </w:pPr>
    </w:p>
    <w:p w:rsidR="00000000" w:rsidRDefault="003464D5">
      <w:pPr>
        <w:jc w:val="both"/>
        <w:rPr>
          <w:rFonts w:cs="David"/>
          <w:sz w:val="26"/>
          <w:szCs w:val="26"/>
          <w:rtl/>
        </w:rPr>
      </w:pPr>
      <w:r>
        <w:rPr>
          <w:rFonts w:cs="David"/>
          <w:sz w:val="26"/>
          <w:szCs w:val="26"/>
          <w:rtl/>
        </w:rPr>
        <w:t>המוסד לביטוח לאומי נוהג כיום להפחית מהג</w:t>
      </w:r>
      <w:r>
        <w:rPr>
          <w:rFonts w:cs="David"/>
          <w:sz w:val="26"/>
          <w:szCs w:val="26"/>
          <w:rtl/>
        </w:rPr>
        <w:t>ימלה המגיעה לנכה רדיפות הנאצים את גמלת הזקנה המגיעה לו, מכוח סעיף 4ב לחוק נכי רדיפות הנאצים, התשי"ז-1957. הדבר פוגע בנכי רדיפות הנאצים שחלקם הגיעו למצב כלכלי נחות שקשה להשלים עימו, בייחוד לאור העובדה שממשלות ישראל ניצלו היטב את השילומים שממשלת גרמניה העביר</w:t>
      </w:r>
      <w:r>
        <w:rPr>
          <w:rFonts w:cs="David"/>
          <w:sz w:val="26"/>
          <w:szCs w:val="26"/>
          <w:rtl/>
        </w:rPr>
        <w:t>ה למדינת ישראל על חשבון אותם נכי רדיפות הנאצים.</w:t>
      </w:r>
    </w:p>
    <w:p w:rsidR="00000000" w:rsidRDefault="003464D5">
      <w:pPr>
        <w:jc w:val="both"/>
        <w:rPr>
          <w:rFonts w:cs="David"/>
          <w:sz w:val="26"/>
          <w:szCs w:val="26"/>
          <w:rtl/>
        </w:rPr>
      </w:pPr>
    </w:p>
    <w:p w:rsidR="00000000" w:rsidRDefault="003464D5">
      <w:pPr>
        <w:jc w:val="both"/>
        <w:rPr>
          <w:rFonts w:cs="David"/>
          <w:sz w:val="26"/>
          <w:szCs w:val="26"/>
          <w:rtl/>
        </w:rPr>
      </w:pPr>
      <w:r>
        <w:rPr>
          <w:rFonts w:cs="David"/>
          <w:sz w:val="26"/>
          <w:szCs w:val="26"/>
          <w:rtl/>
        </w:rPr>
        <w:t>הצעת חוק זו, באה להקל במעט על מצבם של נכי רדיפות הנאצים בישראל, ולא להציג את מי שמקבל קצבת זקנה מהמוסד לביטוח לאומי כאדם עתיר אמצעים שראוי להפחית את קצבת הזקנה שלו מקצבת הנכות שמגיעה לו כנכה רדיפות הנאצים.</w:t>
      </w:r>
    </w:p>
    <w:p w:rsidR="00000000" w:rsidRDefault="003464D5">
      <w:pPr>
        <w:jc w:val="both"/>
        <w:rPr>
          <w:rFonts w:cs="David"/>
          <w:sz w:val="26"/>
          <w:szCs w:val="26"/>
          <w:rtl/>
        </w:rPr>
      </w:pPr>
    </w:p>
    <w:p w:rsidR="00000000" w:rsidRDefault="003464D5">
      <w:pPr>
        <w:jc w:val="both"/>
        <w:rPr>
          <w:rFonts w:cs="David"/>
          <w:sz w:val="26"/>
          <w:szCs w:val="26"/>
          <w:rtl/>
        </w:rPr>
      </w:pPr>
      <w:r>
        <w:rPr>
          <w:rFonts w:cs="David"/>
          <w:sz w:val="26"/>
          <w:szCs w:val="26"/>
          <w:rtl/>
        </w:rPr>
        <w:t xml:space="preserve">הצעות חוק זהות הונחו על שולחן הכנסת השש-עשרה על ידי חבר הכנסת אברהם פורז (פ/3975), על ידי חברי הכנסת אפרים סנה, חיים אורון וקבוצת חברי הכנסת (פ/3963), על ידי חבר הכנסת אורי אריאל וקבוצת חברי הכנסת (פ/3832) ועל ידי חבר הכנסת אברהם הירשזון (פ/1449). </w:t>
      </w:r>
    </w:p>
    <w:p w:rsidR="00000000" w:rsidRDefault="003464D5">
      <w:pPr>
        <w:jc w:val="both"/>
        <w:rPr>
          <w:rFonts w:cs="David"/>
          <w:sz w:val="26"/>
          <w:szCs w:val="26"/>
          <w:rtl/>
        </w:rPr>
      </w:pPr>
    </w:p>
    <w:p w:rsidR="00000000" w:rsidRDefault="003464D5">
      <w:pPr>
        <w:jc w:val="both"/>
        <w:rPr>
          <w:rFonts w:cs="David"/>
          <w:sz w:val="26"/>
          <w:szCs w:val="26"/>
          <w:rtl/>
        </w:rPr>
      </w:pPr>
      <w:r>
        <w:rPr>
          <w:rFonts w:cs="David"/>
          <w:sz w:val="26"/>
          <w:szCs w:val="26"/>
          <w:rtl/>
        </w:rPr>
        <w:t xml:space="preserve">הצעות </w:t>
      </w:r>
      <w:r>
        <w:rPr>
          <w:rFonts w:cs="David"/>
          <w:sz w:val="26"/>
          <w:szCs w:val="26"/>
          <w:rtl/>
        </w:rPr>
        <w:t xml:space="preserve">חוק זהות הונחו על שולחן הכנסת השבע-עשרה על ידי חבר הכנסת חיים אורון </w:t>
      </w:r>
      <w:r>
        <w:rPr>
          <w:rFonts w:cs="David"/>
          <w:sz w:val="26"/>
          <w:szCs w:val="26"/>
          <w:rtl/>
        </w:rPr>
        <w:br/>
        <w:t xml:space="preserve">(פ/135/17), על ידי חבר הכנסת אורי אריאל (פ/303/17), על ידי חברת הכנסת קולט אביטל (פ/824/17) ועל ידי חברי הכנסת אפרים סנה, חיים אורון וקבוצת חברי הכנסת (פ855/17). </w:t>
      </w:r>
    </w:p>
    <w:p w:rsidR="00000000" w:rsidRDefault="003464D5">
      <w:pPr>
        <w:jc w:val="both"/>
        <w:rPr>
          <w:rFonts w:cs="David"/>
          <w:sz w:val="26"/>
          <w:szCs w:val="26"/>
          <w:rtl/>
        </w:rPr>
      </w:pPr>
    </w:p>
    <w:p w:rsidR="00000000" w:rsidRDefault="003464D5">
      <w:pPr>
        <w:jc w:val="both"/>
        <w:rPr>
          <w:rFonts w:cs="David"/>
          <w:sz w:val="26"/>
          <w:szCs w:val="26"/>
          <w:rtl/>
        </w:rPr>
      </w:pPr>
      <w:r>
        <w:rPr>
          <w:rFonts w:cs="David"/>
          <w:sz w:val="26"/>
          <w:szCs w:val="26"/>
          <w:rtl/>
        </w:rPr>
        <w:t>---------------------------------</w:t>
      </w:r>
    </w:p>
    <w:p w:rsidR="00000000" w:rsidRDefault="003464D5">
      <w:pPr>
        <w:jc w:val="both"/>
        <w:rPr>
          <w:rFonts w:cs="David"/>
          <w:sz w:val="26"/>
          <w:szCs w:val="26"/>
          <w:rtl/>
        </w:rPr>
      </w:pPr>
      <w:r>
        <w:rPr>
          <w:rFonts w:cs="David"/>
          <w:sz w:val="26"/>
          <w:szCs w:val="26"/>
          <w:rtl/>
        </w:rPr>
        <w:t>הוגשה ליו"ר הכנסת והסגנים</w:t>
      </w:r>
    </w:p>
    <w:p w:rsidR="00000000" w:rsidRDefault="003464D5">
      <w:pPr>
        <w:jc w:val="both"/>
        <w:rPr>
          <w:rFonts w:cs="David"/>
          <w:sz w:val="26"/>
          <w:szCs w:val="26"/>
          <w:rtl/>
        </w:rPr>
      </w:pPr>
      <w:r>
        <w:rPr>
          <w:rFonts w:cs="David"/>
          <w:sz w:val="26"/>
          <w:szCs w:val="26"/>
          <w:rtl/>
        </w:rPr>
        <w:t>והונחה על שולחן הכנסת ביום</w:t>
      </w:r>
    </w:p>
    <w:p w:rsidR="00000000" w:rsidRDefault="003464D5">
      <w:pPr>
        <w:jc w:val="both"/>
        <w:rPr>
          <w:rFonts w:cs="David"/>
          <w:sz w:val="26"/>
          <w:szCs w:val="26"/>
          <w:rtl/>
        </w:rPr>
      </w:pPr>
      <w:r>
        <w:rPr>
          <w:rFonts w:cs="David"/>
          <w:sz w:val="26"/>
          <w:szCs w:val="26"/>
          <w:rtl/>
        </w:rPr>
        <w:t>י"ד בתמוז התשס"ו - 10.7.06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464D5">
      <w:r>
        <w:separator/>
      </w:r>
    </w:p>
  </w:endnote>
  <w:endnote w:type="continuationSeparator" w:id="0">
    <w:p w:rsidR="00000000" w:rsidRDefault="00346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464D5">
      <w:r>
        <w:separator/>
      </w:r>
    </w:p>
  </w:footnote>
  <w:footnote w:type="continuationSeparator" w:id="0">
    <w:p w:rsidR="00000000" w:rsidRDefault="003464D5">
      <w:r>
        <w:continuationSeparator/>
      </w:r>
    </w:p>
  </w:footnote>
  <w:footnote w:id="1">
    <w:p w:rsidR="00000000" w:rsidRDefault="003464D5">
      <w:pPr>
        <w:pStyle w:val="a8"/>
      </w:pPr>
      <w:r>
        <w:rPr>
          <w:rStyle w:val="aa"/>
          <w:rFonts w:cs="David"/>
        </w:rPr>
        <w:footnoteRef/>
      </w:r>
      <w:r>
        <w:rPr>
          <w:rFonts w:cs="David"/>
        </w:rPr>
        <w:t xml:space="preserve"> </w:t>
      </w:r>
      <w:r>
        <w:rPr>
          <w:rFonts w:cs="David"/>
          <w:rtl/>
        </w:rPr>
        <w:t>ס"ח התשי"ז, עמ' 163.</w:t>
      </w:r>
    </w:p>
  </w:footnote>
  <w:footnote w:id="2">
    <w:p w:rsidR="00000000" w:rsidRDefault="003464D5">
      <w:pPr>
        <w:pStyle w:val="a8"/>
      </w:pPr>
      <w:r>
        <w:rPr>
          <w:rStyle w:val="aa"/>
          <w:rFonts w:cs="David"/>
        </w:rPr>
        <w:footnoteRef/>
      </w:r>
      <w:r>
        <w:rPr>
          <w:rFonts w:cs="David"/>
        </w:rPr>
        <w:t xml:space="preserve"> </w:t>
      </w:r>
      <w:r>
        <w:rPr>
          <w:rFonts w:cs="David"/>
          <w:rtl/>
        </w:rPr>
        <w:t>ס"ח התשנ"ה,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464D5">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3464D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9146ðëé øãéôåú äðàöéí - ëôì ÷öáä.doc"/>
    <w:docVar w:name="StartMode" w:val="2"/>
  </w:docVars>
  <w:rsids>
    <w:rsidRoot w:val="003464D5"/>
    <w:rsid w:val="00346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paragraph" w:styleId="2">
    <w:name w:val="heading 2"/>
    <w:basedOn w:val="a"/>
    <w:next w:val="a"/>
    <w:link w:val="20"/>
    <w:uiPriority w:val="99"/>
    <w:qFormat/>
    <w:pPr>
      <w:keepNext/>
      <w:jc w:val="center"/>
      <w:outlineLvl w:val="1"/>
    </w:pPr>
    <w:rPr>
      <w:rFonts w:eastAsia="Times New Roman"/>
      <w:sz w:val="32"/>
      <w:szCs w:val="32"/>
    </w:rPr>
  </w:style>
  <w:style w:type="paragraph" w:styleId="3">
    <w:name w:val="heading 3"/>
    <w:basedOn w:val="a"/>
    <w:next w:val="a"/>
    <w:link w:val="30"/>
    <w:uiPriority w:val="99"/>
    <w:qFormat/>
    <w:pPr>
      <w:keepNext/>
      <w:jc w:val="center"/>
      <w:outlineLvl w:val="2"/>
    </w:pPr>
    <w:rPr>
      <w:rFonts w:eastAsia="Times New Roman"/>
      <w:b/>
      <w:bCs/>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1414</Characters>
  <Application>Microsoft Office Word</Application>
  <DocSecurity>0</DocSecurity>
  <Lines>11</Lines>
  <Paragraphs>3</Paragraphs>
  <ScaleCrop>false</ScaleCrop>
  <Company>knesset</Company>
  <LinksUpToDate>false</LinksUpToDate>
  <CharactersWithSpaces>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נכי רדיפות הנאצים (תיקון - כפל קיצבה), התשס"ו-2006</dc:title>
  <dc:subject/>
  <dc:creator>Knesset</dc:creator>
  <cp:keywords/>
  <dc:description/>
  <cp:lastModifiedBy>שמואל כוכב</cp:lastModifiedBy>
  <cp:revision>2</cp:revision>
  <dcterms:created xsi:type="dcterms:W3CDTF">2015-02-03T19:37:00Z</dcterms:created>
  <dcterms:modified xsi:type="dcterms:W3CDTF">2015-02-03T19:37:00Z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03694706</vt:lpwstr>
  </property>
  <property fmtid="{D5CDD505-2E9C-101B-9397-08002B2CF9AE}" pid="10" name="מספר הצעת חוק למיון">
    <vt:lpwstr>955</vt:lpwstr>
  </property>
  <property fmtid="{D5CDD505-2E9C-101B-9397-08002B2CF9AE}" pid="11" name="SDDocDate">
    <vt:lpwstr>2006-07-04T00:00:00Z</vt:lpwstr>
  </property>
  <property fmtid="{D5CDD505-2E9C-101B-9397-08002B2CF9AE}" pid="12" name="SDHebDate">
    <vt:lpwstr>ח'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פ/955/17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