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92571">
      <w:pPr>
        <w:rPr>
          <w:rtl/>
        </w:rPr>
      </w:pPr>
      <w:bookmarkStart w:id="0" w:name="_GoBack"/>
      <w:bookmarkEnd w:id="0"/>
    </w:p>
    <w:p w:rsidR="00000000" w:rsidRDefault="00C92571">
      <w:pPr>
        <w:pStyle w:val="a3"/>
        <w:rPr>
          <w:rFonts w:cs="David"/>
          <w:b w:val="0"/>
          <w:bCs w:val="0"/>
          <w:sz w:val="26"/>
          <w:szCs w:val="26"/>
          <w:u w:val="none"/>
          <w:rtl/>
        </w:rPr>
      </w:pPr>
      <w:r>
        <w:rPr>
          <w:rFonts w:cs="David"/>
          <w:u w:val="none"/>
          <w:rtl/>
        </w:rPr>
        <w:t>הכנסת השבע-עשרה</w:t>
      </w:r>
    </w:p>
    <w:p w:rsidR="00000000" w:rsidRDefault="00C92571">
      <w:pPr>
        <w:rPr>
          <w:rFonts w:cs="David"/>
          <w:sz w:val="26"/>
          <w:szCs w:val="26"/>
          <w:rtl/>
        </w:rPr>
      </w:pPr>
    </w:p>
    <w:p w:rsidR="00000000" w:rsidRDefault="00C92571">
      <w:pPr>
        <w:rPr>
          <w:rFonts w:cs="David"/>
          <w:sz w:val="26"/>
          <w:szCs w:val="26"/>
          <w:rtl/>
        </w:rPr>
      </w:pPr>
    </w:p>
    <w:tbl>
      <w:tblPr>
        <w:bidiVisual/>
        <w:tblW w:w="0" w:type="auto"/>
        <w:tblInd w:w="3751" w:type="dxa"/>
        <w:tblBorders>
          <w:bottom w:val="single" w:sz="4" w:space="0" w:color="auto"/>
        </w:tblBorders>
        <w:tblLook w:val="0000" w:firstRow="0" w:lastRow="0" w:firstColumn="0" w:lastColumn="0" w:noHBand="0" w:noVBand="0"/>
      </w:tblPr>
      <w:tblGrid>
        <w:gridCol w:w="4068"/>
      </w:tblGrid>
      <w:tr w:rsidR="00000000">
        <w:tblPrEx>
          <w:tblCellMar>
            <w:top w:w="0" w:type="dxa"/>
            <w:bottom w:w="0" w:type="dxa"/>
          </w:tblCellMar>
        </w:tblPrEx>
        <w:tc>
          <w:tcPr>
            <w:tcW w:w="4068" w:type="dxa"/>
            <w:tcBorders>
              <w:top w:val="nil"/>
              <w:left w:val="nil"/>
              <w:bottom w:val="single" w:sz="4" w:space="0" w:color="auto"/>
              <w:right w:val="nil"/>
            </w:tcBorders>
          </w:tcPr>
          <w:p w:rsidR="00000000" w:rsidRDefault="00C92571">
            <w:pPr>
              <w:spacing w:after="120"/>
              <w:rPr>
                <w:rFonts w:cs="David"/>
                <w:sz w:val="26"/>
                <w:szCs w:val="26"/>
              </w:rPr>
            </w:pPr>
            <w:r>
              <w:rPr>
                <w:rFonts w:cs="David"/>
                <w:sz w:val="26"/>
                <w:szCs w:val="26"/>
                <w:rtl/>
              </w:rPr>
              <w:t>הצעת</w:t>
            </w:r>
            <w:r>
              <w:rPr>
                <w:rFonts w:cs="David"/>
                <w:sz w:val="26"/>
                <w:szCs w:val="26"/>
              </w:rPr>
              <w:t xml:space="preserve"> </w:t>
            </w:r>
            <w:r>
              <w:rPr>
                <w:rFonts w:cs="David"/>
                <w:sz w:val="26"/>
                <w:szCs w:val="26"/>
                <w:rtl/>
              </w:rPr>
              <w:t xml:space="preserve">חוק של חבר הכנסת </w:t>
            </w:r>
            <w:r>
              <w:rPr>
                <w:rFonts w:cs="David"/>
                <w:b/>
                <w:bCs/>
                <w:sz w:val="26"/>
                <w:szCs w:val="26"/>
                <w:rtl/>
              </w:rPr>
              <w:t>זבולון אורלב</w:t>
            </w:r>
          </w:p>
        </w:tc>
      </w:tr>
    </w:tbl>
    <w:p w:rsidR="00000000" w:rsidRDefault="00C92571">
      <w:pPr>
        <w:jc w:val="center"/>
        <w:rPr>
          <w:rFonts w:cs="David"/>
          <w:b/>
          <w:bCs/>
          <w:sz w:val="26"/>
          <w:szCs w:val="26"/>
          <w:rtl/>
        </w:rPr>
      </w:pP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sz w:val="26"/>
          <w:szCs w:val="26"/>
          <w:rtl/>
        </w:rPr>
        <w:tab/>
      </w:r>
      <w:r>
        <w:rPr>
          <w:rFonts w:cs="David"/>
          <w:b/>
          <w:bCs/>
          <w:rtl/>
        </w:rPr>
        <w:t xml:space="preserve">                                    פ/1018/17</w:t>
      </w:r>
    </w:p>
    <w:p w:rsidR="00000000" w:rsidRDefault="00C92571">
      <w:pPr>
        <w:rPr>
          <w:rFonts w:cs="David"/>
          <w:sz w:val="26"/>
          <w:szCs w:val="26"/>
          <w:rtl/>
        </w:rPr>
      </w:pPr>
    </w:p>
    <w:p w:rsidR="00000000" w:rsidRDefault="00C92571">
      <w:pPr>
        <w:jc w:val="center"/>
        <w:rPr>
          <w:rFonts w:cs="David"/>
          <w:b/>
          <w:bCs/>
          <w:sz w:val="28"/>
          <w:szCs w:val="28"/>
          <w:rtl/>
        </w:rPr>
      </w:pPr>
      <w:r>
        <w:rPr>
          <w:rFonts w:cs="David"/>
          <w:b/>
          <w:bCs/>
          <w:sz w:val="28"/>
          <w:szCs w:val="28"/>
          <w:rtl/>
        </w:rPr>
        <w:t>הצעת חוק תעסוקה נתמכת, התשס"ו-2006</w:t>
      </w:r>
    </w:p>
    <w:p w:rsidR="00000000" w:rsidRDefault="00C92571">
      <w:pPr>
        <w:rPr>
          <w:rFonts w:cs="David"/>
          <w:sz w:val="26"/>
          <w:szCs w:val="26"/>
          <w:rtl/>
        </w:rPr>
      </w:pPr>
    </w:p>
    <w:p w:rsidR="00000000" w:rsidRDefault="00C92571">
      <w:pPr>
        <w:rPr>
          <w:rFonts w:cs="David"/>
          <w:sz w:val="26"/>
          <w:szCs w:val="26"/>
        </w:rPr>
      </w:pPr>
    </w:p>
    <w:tbl>
      <w:tblPr>
        <w:bidiVisual/>
        <w:tblW w:w="0" w:type="auto"/>
        <w:tblCellMar>
          <w:left w:w="57" w:type="dxa"/>
          <w:right w:w="57" w:type="dxa"/>
        </w:tblCellMar>
        <w:tblLook w:val="0000" w:firstRow="0" w:lastRow="0" w:firstColumn="0" w:lastColumn="0" w:noHBand="0" w:noVBand="0"/>
      </w:tblPr>
      <w:tblGrid>
        <w:gridCol w:w="1168"/>
        <w:gridCol w:w="545"/>
        <w:gridCol w:w="589"/>
        <w:gridCol w:w="6118"/>
      </w:tblGrid>
      <w:tr w:rsidR="00000000">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הגדרות</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1.</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 xml:space="preserve">בחוק זה - </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"גורמים מקצועיים" – גורמים שהשר הכיר בהם.</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"משתק</w:t>
            </w:r>
            <w:r>
              <w:rPr>
                <w:rFonts w:cs="David"/>
                <w:sz w:val="26"/>
                <w:szCs w:val="26"/>
                <w:rtl/>
              </w:rPr>
              <w:t>ם" – אדם שמלאו לו 18 שנים, אשר הוכר על ידי אגף השיקום שבמשרד הרווחה כזכאי לשיקום;</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"תעסוקה נתמכת" – תעסוקה שלא בתעסוקה מוגנת ושלא במסגרת מרכז עבודה שיקומי (להלן - מע"ש) המתבצעת במקומות שבקהילה, בליווי גורם מקצועי;</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"השר" – שר הרווחה.</w:t>
            </w:r>
          </w:p>
          <w:p w:rsidR="00000000" w:rsidRDefault="00C92571">
            <w:pPr>
              <w:spacing w:after="120" w:line="360" w:lineRule="auto"/>
              <w:jc w:val="both"/>
              <w:rPr>
                <w:rFonts w:cs="David"/>
                <w:sz w:val="26"/>
                <w:szCs w:val="26"/>
              </w:rPr>
            </w:pPr>
          </w:p>
        </w:tc>
      </w:tr>
      <w:tr w:rsidR="00000000">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אי קיום יחסי עוב</w:t>
            </w:r>
            <w:r>
              <w:rPr>
                <w:rFonts w:cs="David"/>
                <w:sz w:val="26"/>
                <w:szCs w:val="26"/>
                <w:rtl/>
              </w:rPr>
              <w:t>ד-מעביד</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 xml:space="preserve">2. </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לא יתקיימו יחסי עובד-מעביד בין המשתקם לבעלים של מקום התעסוקה הנתמכת שבו מצוי המשתקם, בהתקיים כל אלה:</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(א)</w:t>
            </w:r>
          </w:p>
        </w:tc>
        <w:tc>
          <w:tcPr>
            <w:tcW w:w="6177" w:type="dxa"/>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המשתקם הופנה למקום התעסוקה על ידי גורם מקצועי, והגורם המקצועי מטפל במשתקם ובצרכיו במקום התעסוקה במהלך כל התקופה שבה המשתקם מצוי במקום הת</w:t>
            </w:r>
            <w:r>
              <w:rPr>
                <w:rFonts w:cs="David"/>
                <w:sz w:val="26"/>
                <w:szCs w:val="26"/>
                <w:rtl/>
              </w:rPr>
              <w:t>עסוקה, בדרך של ליווי, הדרכה, התאמת התעסוקה או המקום שבו מבוצעת התעסוקה למשתקם, באופן קבוע ושוטף;</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(ב)</w:t>
            </w:r>
          </w:p>
        </w:tc>
        <w:tc>
          <w:tcPr>
            <w:tcW w:w="6177" w:type="dxa"/>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לא מתקיימים במשתקם התנאים המאפשרים קביעה של שכר מינימום בשיעורים נמוכים מהאמור בחוק שכר מינימום, התשמ"ז–1987</w:t>
            </w:r>
            <w:r>
              <w:rPr>
                <w:rStyle w:val="aa"/>
                <w:rFonts w:cs="David"/>
                <w:sz w:val="26"/>
                <w:szCs w:val="26"/>
                <w:rtl/>
              </w:rPr>
              <w:footnoteReference w:id="1"/>
            </w:r>
            <w:r>
              <w:rPr>
                <w:rFonts w:cs="David"/>
                <w:sz w:val="26"/>
                <w:szCs w:val="26"/>
                <w:rtl/>
              </w:rPr>
              <w:t xml:space="preserve"> בהתאם להוראת לפי ס</w:t>
            </w:r>
            <w:r>
              <w:rPr>
                <w:rFonts w:cs="David"/>
                <w:sz w:val="26"/>
                <w:szCs w:val="26"/>
                <w:rtl/>
              </w:rPr>
              <w:t xml:space="preserve">עיף 17(ב) לחוק שכר מינימום, התשמ"ז–1987 ובהוראות לפיו (להלן – שכר מינימום מותאם). </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(ג)</w:t>
            </w:r>
          </w:p>
        </w:tc>
        <w:tc>
          <w:tcPr>
            <w:tcW w:w="6177" w:type="dxa"/>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 xml:space="preserve">התעסוקה מתבצעת במקום שאיננו מפעל מוגן ואינו מע"ש כמשמעותו בתקנון העובדים הסוציאליים. </w:t>
            </w:r>
          </w:p>
          <w:p w:rsidR="00000000" w:rsidRDefault="00C92571">
            <w:pPr>
              <w:spacing w:after="120"/>
              <w:jc w:val="both"/>
              <w:rPr>
                <w:rFonts w:cs="David"/>
                <w:sz w:val="26"/>
                <w:szCs w:val="26"/>
              </w:rPr>
            </w:pP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lastRenderedPageBreak/>
              <w:t>תשלום והוצאות</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3.</w:t>
            </w: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(א)</w:t>
            </w:r>
          </w:p>
        </w:tc>
        <w:tc>
          <w:tcPr>
            <w:tcW w:w="6177" w:type="dxa"/>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מקום התעסוקה ישלם למשתקם במישרין או באמצעות הגורם המקצועי</w:t>
            </w:r>
            <w:r>
              <w:rPr>
                <w:rFonts w:cs="David"/>
                <w:sz w:val="26"/>
                <w:szCs w:val="26"/>
                <w:rtl/>
              </w:rPr>
              <w:t>, הוצאות בסכומים ובשיעורים שייקבעו בין מקום התעסוקה לבין הגורם המקצועי, ובלבד שהם נמוכים מהשיעור הקבוע בתקנה 4(א)(3) לתקנות שכר מינימום (שכר מותאם לעובד עם מוגבלות בעל יכולת עבודה מופחתת), התשס"ב-2002</w:t>
            </w:r>
            <w:r>
              <w:rPr>
                <w:rStyle w:val="aa"/>
                <w:rFonts w:cs="David"/>
                <w:sz w:val="26"/>
                <w:szCs w:val="26"/>
                <w:rtl/>
              </w:rPr>
              <w:footnoteReference w:id="2"/>
            </w:r>
            <w:r>
              <w:rPr>
                <w:rFonts w:cs="David"/>
                <w:sz w:val="26"/>
                <w:szCs w:val="26"/>
                <w:rtl/>
              </w:rPr>
              <w:t xml:space="preserve">. </w:t>
            </w: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(ב)</w:t>
            </w:r>
          </w:p>
        </w:tc>
        <w:tc>
          <w:tcPr>
            <w:tcW w:w="6177" w:type="dxa"/>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השר יקבע הוראות לעני</w:t>
            </w:r>
            <w:r>
              <w:rPr>
                <w:rFonts w:cs="David"/>
                <w:sz w:val="26"/>
                <w:szCs w:val="26"/>
                <w:rtl/>
              </w:rPr>
              <w:t>ן גובה התשלום וההוצאות בהתחשב, בין היתר, בתפוקה של המשתקם ובשעות פעילותו במקום התעסוקה.</w:t>
            </w: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(ג)</w:t>
            </w:r>
          </w:p>
        </w:tc>
        <w:tc>
          <w:tcPr>
            <w:tcW w:w="6177" w:type="dxa"/>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השר רשאי לקבוע נסיבות שבהן יותר תשלום בשיעור העולה על השיעור האמור.</w:t>
            </w:r>
          </w:p>
          <w:p w:rsidR="00000000" w:rsidRDefault="00C92571">
            <w:pPr>
              <w:spacing w:after="120"/>
              <w:jc w:val="both"/>
              <w:rPr>
                <w:rFonts w:cs="David"/>
                <w:sz w:val="26"/>
                <w:szCs w:val="26"/>
              </w:rPr>
            </w:pP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החלת הוראות</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4.</w:t>
            </w: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(א)</w:t>
            </w:r>
          </w:p>
        </w:tc>
        <w:tc>
          <w:tcPr>
            <w:tcW w:w="6177" w:type="dxa"/>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מבלי לגרוע מהאמור בסעיף 2, ובנוסף לאמור בסעיף 3, יחולו על הבעלים במקום ה</w:t>
            </w:r>
            <w:r>
              <w:rPr>
                <w:rFonts w:cs="David"/>
                <w:sz w:val="26"/>
                <w:szCs w:val="26"/>
                <w:rtl/>
              </w:rPr>
              <w:t>תעסוקה הנתמכת, לענין המשתקם, החובות המוטלות על מעביד לפי החיקוקים שבתוספת, בשינויים המחויבים, לרבות לענין היקף התעסוקה וסכום ההוצאות החל לגבי המשתקם.</w:t>
            </w: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(ב)</w:t>
            </w:r>
          </w:p>
        </w:tc>
        <w:tc>
          <w:tcPr>
            <w:tcW w:w="6177" w:type="dxa"/>
            <w:tcBorders>
              <w:top w:val="nil"/>
              <w:left w:val="nil"/>
              <w:bottom w:val="nil"/>
              <w:right w:val="nil"/>
            </w:tcBorders>
          </w:tcPr>
          <w:p w:rsidR="00000000" w:rsidRDefault="00C92571">
            <w:pPr>
              <w:spacing w:after="120"/>
              <w:jc w:val="both"/>
              <w:rPr>
                <w:rFonts w:cs="David"/>
                <w:sz w:val="26"/>
                <w:szCs w:val="26"/>
                <w:rtl/>
              </w:rPr>
            </w:pPr>
            <w:r>
              <w:rPr>
                <w:rFonts w:cs="David"/>
                <w:sz w:val="26"/>
                <w:szCs w:val="26"/>
                <w:rtl/>
              </w:rPr>
              <w:t>השר רשאי, להוסיף בצו על החוקים המנויים בתוספת.</w:t>
            </w:r>
          </w:p>
          <w:p w:rsidR="00000000" w:rsidRDefault="00C92571">
            <w:pPr>
              <w:spacing w:after="120"/>
              <w:jc w:val="both"/>
              <w:rPr>
                <w:rFonts w:cs="David"/>
                <w:sz w:val="26"/>
                <w:szCs w:val="26"/>
              </w:rPr>
            </w:pPr>
          </w:p>
        </w:tc>
      </w:tr>
      <w:tr w:rsidR="00000000">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 xml:space="preserve">תיקון חוק הביטוח הלאומי </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5.</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Pr>
            </w:pPr>
            <w:r>
              <w:rPr>
                <w:rFonts w:cs="David"/>
                <w:sz w:val="26"/>
                <w:szCs w:val="26"/>
                <w:rtl/>
              </w:rPr>
              <w:t>בחוק הביטוח הלאומי [נו</w:t>
            </w:r>
            <w:r>
              <w:rPr>
                <w:rFonts w:cs="David"/>
                <w:sz w:val="26"/>
                <w:szCs w:val="26"/>
                <w:rtl/>
              </w:rPr>
              <w:t>סח משולב], התשנ"ה-1995</w:t>
            </w:r>
            <w:r>
              <w:rPr>
                <w:rtl/>
              </w:rPr>
              <w:footnoteReference w:id="3"/>
            </w:r>
            <w:r>
              <w:rPr>
                <w:rFonts w:cs="David"/>
                <w:sz w:val="26"/>
                <w:szCs w:val="26"/>
                <w:rtl/>
              </w:rPr>
              <w:t>, בסעיף 287, אחרי סעיף קטן (8) יבוא:</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525" w:type="dxa"/>
            <w:tcBorders>
              <w:top w:val="nil"/>
              <w:left w:val="nil"/>
              <w:bottom w:val="nil"/>
              <w:right w:val="nil"/>
            </w:tcBorders>
          </w:tcPr>
          <w:p w:rsidR="00000000" w:rsidRDefault="00C92571">
            <w:pPr>
              <w:spacing w:after="120"/>
              <w:rPr>
                <w:rFonts w:cs="David"/>
                <w:sz w:val="26"/>
                <w:szCs w:val="26"/>
              </w:rPr>
            </w:pPr>
            <w:r>
              <w:rPr>
                <w:rFonts w:cs="David"/>
                <w:sz w:val="26"/>
                <w:szCs w:val="26"/>
                <w:rtl/>
              </w:rPr>
              <w:t>"(10)</w:t>
            </w:r>
          </w:p>
        </w:tc>
        <w:tc>
          <w:tcPr>
            <w:tcW w:w="6177" w:type="dxa"/>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משתקם כהגדרתו בחוק תעסוקה נתמכת, התשס"ו-2006."</w:t>
            </w:r>
          </w:p>
          <w:p w:rsidR="00000000" w:rsidRDefault="00C92571">
            <w:pPr>
              <w:spacing w:after="120"/>
              <w:jc w:val="both"/>
              <w:rPr>
                <w:rFonts w:cs="David"/>
                <w:sz w:val="26"/>
                <w:szCs w:val="26"/>
              </w:rPr>
            </w:pP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הסדר ביטוחי</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6.</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השר רשאי לקבוע למשתקמים המועסקים בתעסוקה נתמכת או לסוגים מהם הסדר ביטוחי שונה מן הקבוע בסעיף 5.</w:t>
            </w:r>
          </w:p>
          <w:p w:rsidR="00000000" w:rsidRDefault="00C92571">
            <w:pPr>
              <w:spacing w:after="120"/>
              <w:jc w:val="both"/>
              <w:rPr>
                <w:rFonts w:cs="David"/>
                <w:sz w:val="26"/>
                <w:szCs w:val="26"/>
              </w:rPr>
            </w:pPr>
          </w:p>
        </w:tc>
      </w:tr>
      <w:tr w:rsidR="00000000">
        <w:trPr>
          <w:cantSplit/>
        </w:trPr>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העדפה לתעסוקה חופשית</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7.</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חל שינוי ביכולות העבודה של משתקם, יפעל הגורם המקצועי להעברתו למסגרת תעסוקה שבה מתקיימים יחסי עובד-מעביד; לצורך כך יבדוק גורם מקצועי, מידי שנה, אם התנאים כאמור בסעיף 2(ב) מתקיימים במשתקם.</w:t>
            </w:r>
          </w:p>
          <w:p w:rsidR="00000000" w:rsidRDefault="00C92571">
            <w:pPr>
              <w:jc w:val="both"/>
              <w:rPr>
                <w:rFonts w:cs="David"/>
                <w:sz w:val="26"/>
                <w:szCs w:val="26"/>
              </w:rPr>
            </w:pPr>
          </w:p>
        </w:tc>
      </w:tr>
      <w:tr w:rsidR="00000000">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lastRenderedPageBreak/>
              <w:t>ביצוע ותקנות</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8.</w:t>
            </w:r>
          </w:p>
        </w:tc>
        <w:tc>
          <w:tcPr>
            <w:tcW w:w="6702" w:type="dxa"/>
            <w:gridSpan w:val="2"/>
            <w:tcBorders>
              <w:top w:val="nil"/>
              <w:left w:val="nil"/>
              <w:bottom w:val="nil"/>
              <w:right w:val="nil"/>
            </w:tcBorders>
          </w:tcPr>
          <w:p w:rsidR="00000000" w:rsidRDefault="00C92571">
            <w:pPr>
              <w:spacing w:after="120" w:line="360" w:lineRule="auto"/>
              <w:jc w:val="both"/>
              <w:rPr>
                <w:rFonts w:cs="David"/>
                <w:sz w:val="26"/>
                <w:szCs w:val="26"/>
                <w:rtl/>
              </w:rPr>
            </w:pPr>
            <w:r>
              <w:rPr>
                <w:rFonts w:cs="David"/>
                <w:sz w:val="26"/>
                <w:szCs w:val="26"/>
                <w:rtl/>
              </w:rPr>
              <w:t>השר ממונה על ביצוע חוק זה ו</w:t>
            </w:r>
            <w:r>
              <w:rPr>
                <w:rFonts w:cs="David"/>
                <w:sz w:val="26"/>
                <w:szCs w:val="26"/>
                <w:rtl/>
              </w:rPr>
              <w:t>הוא רשאי להתקין תקנות בכל הנוגע לביצוע,ו באישור ועדת העבודה, הרווחה והבריאות.</w:t>
            </w:r>
          </w:p>
          <w:p w:rsidR="00000000" w:rsidRDefault="00C92571">
            <w:pPr>
              <w:jc w:val="both"/>
              <w:rPr>
                <w:rFonts w:cs="David"/>
                <w:sz w:val="26"/>
                <w:szCs w:val="26"/>
              </w:rPr>
            </w:pPr>
          </w:p>
        </w:tc>
      </w:tr>
      <w:tr w:rsidR="00000000">
        <w:tc>
          <w:tcPr>
            <w:tcW w:w="1170" w:type="dxa"/>
            <w:tcBorders>
              <w:top w:val="nil"/>
              <w:left w:val="nil"/>
              <w:bottom w:val="nil"/>
              <w:right w:val="nil"/>
            </w:tcBorders>
          </w:tcPr>
          <w:p w:rsidR="00000000" w:rsidRDefault="00C92571">
            <w:pPr>
              <w:spacing w:after="120"/>
              <w:rPr>
                <w:rFonts w:cs="David"/>
                <w:sz w:val="26"/>
                <w:szCs w:val="26"/>
              </w:rPr>
            </w:pPr>
            <w:r>
              <w:rPr>
                <w:rFonts w:cs="David"/>
                <w:sz w:val="26"/>
                <w:szCs w:val="26"/>
                <w:rtl/>
              </w:rPr>
              <w:t>תחילה</w:t>
            </w: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9.</w:t>
            </w:r>
          </w:p>
        </w:tc>
        <w:tc>
          <w:tcPr>
            <w:tcW w:w="6702" w:type="dxa"/>
            <w:gridSpan w:val="2"/>
            <w:tcBorders>
              <w:top w:val="nil"/>
              <w:left w:val="nil"/>
              <w:bottom w:val="nil"/>
              <w:right w:val="nil"/>
            </w:tcBorders>
          </w:tcPr>
          <w:p w:rsidR="00000000" w:rsidRDefault="00C92571">
            <w:pPr>
              <w:jc w:val="both"/>
              <w:rPr>
                <w:rFonts w:cs="David"/>
                <w:sz w:val="26"/>
                <w:szCs w:val="26"/>
              </w:rPr>
            </w:pPr>
            <w:r>
              <w:rPr>
                <w:rFonts w:cs="David"/>
                <w:sz w:val="26"/>
                <w:szCs w:val="26"/>
                <w:rtl/>
              </w:rPr>
              <w:t>תחילתו של חוק זה 30 ימים מיום פרסומו.</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p>
        </w:tc>
        <w:tc>
          <w:tcPr>
            <w:tcW w:w="6702" w:type="dxa"/>
            <w:gridSpan w:val="2"/>
            <w:tcBorders>
              <w:top w:val="nil"/>
              <w:left w:val="nil"/>
              <w:bottom w:val="nil"/>
              <w:right w:val="nil"/>
            </w:tcBorders>
          </w:tcPr>
          <w:p w:rsidR="00000000" w:rsidRDefault="00C92571">
            <w:pPr>
              <w:rPr>
                <w:rFonts w:cs="David"/>
                <w:b/>
                <w:bCs/>
                <w:sz w:val="26"/>
                <w:szCs w:val="26"/>
                <w:u w:val="single"/>
                <w:rtl/>
              </w:rPr>
            </w:pPr>
          </w:p>
          <w:p w:rsidR="00000000" w:rsidRDefault="00C92571">
            <w:pPr>
              <w:pStyle w:val="2"/>
              <w:rPr>
                <w:rFonts w:cs="David"/>
                <w:b/>
                <w:bCs/>
                <w:rtl/>
              </w:rPr>
            </w:pPr>
            <w:r>
              <w:rPr>
                <w:rFonts w:cs="David"/>
                <w:b/>
                <w:bCs/>
                <w:rtl/>
              </w:rPr>
              <w:t>תוספת</w:t>
            </w:r>
          </w:p>
          <w:p w:rsidR="00000000" w:rsidRDefault="00C92571">
            <w:pPr>
              <w:jc w:val="center"/>
              <w:rPr>
                <w:rFonts w:cs="David"/>
                <w:sz w:val="26"/>
                <w:szCs w:val="26"/>
                <w:rtl/>
              </w:rPr>
            </w:pPr>
            <w:r>
              <w:rPr>
                <w:rFonts w:cs="David"/>
                <w:sz w:val="26"/>
                <w:szCs w:val="26"/>
                <w:rtl/>
              </w:rPr>
              <w:t>(סעיף 4)</w:t>
            </w:r>
          </w:p>
          <w:p w:rsidR="00000000" w:rsidRDefault="00C92571">
            <w:pPr>
              <w:spacing w:after="120"/>
              <w:jc w:val="center"/>
              <w:rPr>
                <w:rFonts w:cs="David"/>
                <w:sz w:val="26"/>
                <w:szCs w:val="26"/>
              </w:rPr>
            </w:pP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1.</w:t>
            </w:r>
          </w:p>
        </w:tc>
        <w:tc>
          <w:tcPr>
            <w:tcW w:w="6702" w:type="dxa"/>
            <w:gridSpan w:val="2"/>
            <w:tcBorders>
              <w:top w:val="nil"/>
              <w:left w:val="nil"/>
              <w:bottom w:val="nil"/>
              <w:right w:val="nil"/>
            </w:tcBorders>
          </w:tcPr>
          <w:p w:rsidR="00000000" w:rsidRDefault="00C92571">
            <w:pPr>
              <w:spacing w:after="120"/>
              <w:jc w:val="both"/>
              <w:rPr>
                <w:rFonts w:cs="David"/>
                <w:sz w:val="26"/>
                <w:szCs w:val="26"/>
              </w:rPr>
            </w:pPr>
            <w:r>
              <w:rPr>
                <w:rFonts w:cs="David"/>
                <w:sz w:val="26"/>
                <w:szCs w:val="26"/>
                <w:rtl/>
              </w:rPr>
              <w:t>חוק חופשה שנתית, התשי"א-1951</w:t>
            </w:r>
            <w:r>
              <w:rPr>
                <w:rStyle w:val="aa"/>
                <w:rFonts w:cs="David"/>
                <w:sz w:val="26"/>
                <w:szCs w:val="26"/>
                <w:rtl/>
              </w:rPr>
              <w:footnoteReference w:id="4"/>
            </w:r>
            <w:r>
              <w:rPr>
                <w:rFonts w:cs="David"/>
                <w:sz w:val="26"/>
                <w:szCs w:val="26"/>
                <w:rtl/>
              </w:rPr>
              <w:t>.</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2.</w:t>
            </w:r>
          </w:p>
        </w:tc>
        <w:tc>
          <w:tcPr>
            <w:tcW w:w="6702" w:type="dxa"/>
            <w:gridSpan w:val="2"/>
            <w:tcBorders>
              <w:top w:val="nil"/>
              <w:left w:val="nil"/>
              <w:bottom w:val="nil"/>
              <w:right w:val="nil"/>
            </w:tcBorders>
          </w:tcPr>
          <w:p w:rsidR="00000000" w:rsidRDefault="00C92571">
            <w:pPr>
              <w:spacing w:after="120"/>
              <w:jc w:val="both"/>
              <w:rPr>
                <w:rFonts w:cs="David"/>
                <w:sz w:val="26"/>
                <w:szCs w:val="26"/>
              </w:rPr>
            </w:pPr>
            <w:r>
              <w:rPr>
                <w:rFonts w:cs="David"/>
                <w:sz w:val="26"/>
                <w:szCs w:val="26"/>
                <w:rtl/>
              </w:rPr>
              <w:t>חוק דמי מחלה, התשל"ו-1976</w:t>
            </w:r>
            <w:r>
              <w:rPr>
                <w:rStyle w:val="aa"/>
                <w:rFonts w:cs="David"/>
                <w:sz w:val="26"/>
                <w:szCs w:val="26"/>
                <w:rtl/>
              </w:rPr>
              <w:footnoteReference w:id="5"/>
            </w:r>
            <w:r>
              <w:rPr>
                <w:rFonts w:cs="David"/>
                <w:sz w:val="26"/>
                <w:szCs w:val="26"/>
                <w:rtl/>
              </w:rPr>
              <w:t>.</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3.</w:t>
            </w:r>
          </w:p>
        </w:tc>
        <w:tc>
          <w:tcPr>
            <w:tcW w:w="6702" w:type="dxa"/>
            <w:gridSpan w:val="2"/>
            <w:tcBorders>
              <w:top w:val="nil"/>
              <w:left w:val="nil"/>
              <w:bottom w:val="nil"/>
              <w:right w:val="nil"/>
            </w:tcBorders>
          </w:tcPr>
          <w:p w:rsidR="00000000" w:rsidRDefault="00C92571">
            <w:pPr>
              <w:spacing w:after="120"/>
              <w:jc w:val="both"/>
              <w:rPr>
                <w:rFonts w:cs="David"/>
                <w:sz w:val="26"/>
                <w:szCs w:val="26"/>
              </w:rPr>
            </w:pPr>
            <w:r>
              <w:rPr>
                <w:rFonts w:cs="David"/>
                <w:sz w:val="26"/>
                <w:szCs w:val="26"/>
                <w:rtl/>
              </w:rPr>
              <w:t xml:space="preserve">דמי נסיעה שנקבעו לגבי העובדים במשק. </w:t>
            </w:r>
          </w:p>
        </w:tc>
      </w:tr>
      <w:tr w:rsidR="00000000">
        <w:tc>
          <w:tcPr>
            <w:tcW w:w="1170" w:type="dxa"/>
            <w:tcBorders>
              <w:top w:val="nil"/>
              <w:left w:val="nil"/>
              <w:bottom w:val="nil"/>
              <w:right w:val="nil"/>
            </w:tcBorders>
          </w:tcPr>
          <w:p w:rsidR="00000000" w:rsidRDefault="00C92571">
            <w:pPr>
              <w:spacing w:after="120"/>
              <w:rPr>
                <w:rFonts w:cs="David"/>
                <w:sz w:val="26"/>
                <w:szCs w:val="26"/>
              </w:rPr>
            </w:pPr>
          </w:p>
        </w:tc>
        <w:tc>
          <w:tcPr>
            <w:tcW w:w="548" w:type="dxa"/>
            <w:tcBorders>
              <w:top w:val="nil"/>
              <w:left w:val="nil"/>
              <w:bottom w:val="nil"/>
              <w:right w:val="nil"/>
            </w:tcBorders>
          </w:tcPr>
          <w:p w:rsidR="00000000" w:rsidRDefault="00C92571">
            <w:pPr>
              <w:spacing w:after="120"/>
              <w:rPr>
                <w:rFonts w:cs="David"/>
                <w:sz w:val="26"/>
                <w:szCs w:val="26"/>
              </w:rPr>
            </w:pPr>
            <w:r>
              <w:rPr>
                <w:rFonts w:cs="David"/>
                <w:sz w:val="26"/>
                <w:szCs w:val="26"/>
                <w:rtl/>
              </w:rPr>
              <w:t>4.</w:t>
            </w:r>
          </w:p>
        </w:tc>
        <w:tc>
          <w:tcPr>
            <w:tcW w:w="6702" w:type="dxa"/>
            <w:gridSpan w:val="2"/>
            <w:tcBorders>
              <w:top w:val="nil"/>
              <w:left w:val="nil"/>
              <w:bottom w:val="nil"/>
              <w:right w:val="nil"/>
            </w:tcBorders>
          </w:tcPr>
          <w:p w:rsidR="00000000" w:rsidRDefault="00C92571">
            <w:pPr>
              <w:spacing w:after="120"/>
              <w:jc w:val="both"/>
              <w:rPr>
                <w:rFonts w:cs="David"/>
                <w:sz w:val="26"/>
                <w:szCs w:val="26"/>
              </w:rPr>
            </w:pPr>
            <w:r>
              <w:rPr>
                <w:rFonts w:cs="David"/>
                <w:sz w:val="26"/>
                <w:szCs w:val="26"/>
                <w:rtl/>
              </w:rPr>
              <w:t>דמי הבראה שנקבעו לגבי העובדים במשק.</w:t>
            </w:r>
          </w:p>
        </w:tc>
      </w:tr>
    </w:tbl>
    <w:p w:rsidR="00000000" w:rsidRDefault="00C92571">
      <w:pPr>
        <w:rPr>
          <w:rFonts w:cs="David"/>
          <w:sz w:val="26"/>
          <w:szCs w:val="26"/>
          <w:rtl/>
        </w:rPr>
      </w:pPr>
    </w:p>
    <w:p w:rsidR="00000000" w:rsidRDefault="00C92571">
      <w:pPr>
        <w:jc w:val="center"/>
        <w:rPr>
          <w:rFonts w:cs="David"/>
          <w:b/>
          <w:bCs/>
          <w:sz w:val="28"/>
          <w:szCs w:val="28"/>
          <w:u w:val="single"/>
          <w:rtl/>
        </w:rPr>
      </w:pPr>
      <w:r>
        <w:rPr>
          <w:rFonts w:cs="David"/>
          <w:b/>
          <w:bCs/>
          <w:sz w:val="28"/>
          <w:szCs w:val="28"/>
          <w:u w:val="single"/>
          <w:rtl/>
        </w:rPr>
        <w:t>דברי – הסבר</w:t>
      </w:r>
    </w:p>
    <w:p w:rsidR="00000000" w:rsidRDefault="00C92571">
      <w:pPr>
        <w:jc w:val="center"/>
        <w:rPr>
          <w:rFonts w:cs="David"/>
          <w:sz w:val="26"/>
          <w:szCs w:val="26"/>
          <w:rtl/>
        </w:rPr>
      </w:pPr>
    </w:p>
    <w:p w:rsidR="00000000" w:rsidRDefault="00C92571">
      <w:pPr>
        <w:spacing w:line="360" w:lineRule="auto"/>
        <w:jc w:val="both"/>
        <w:rPr>
          <w:rFonts w:cs="David"/>
          <w:sz w:val="26"/>
          <w:szCs w:val="26"/>
          <w:rtl/>
        </w:rPr>
      </w:pPr>
      <w:r>
        <w:rPr>
          <w:rFonts w:cs="David"/>
          <w:sz w:val="26"/>
          <w:szCs w:val="26"/>
          <w:rtl/>
        </w:rPr>
        <w:t>אוכלוסיית האנשים עם מוגבלות המטופלת באגף השיקום שבמשרד הרווחה כוללת אוכלוסיות עם מוגבלויות מסוגים שונים, בעלי רמות קוגנטיביות ורמות תפקוד שונות.</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חל</w:t>
      </w:r>
      <w:r>
        <w:rPr>
          <w:rFonts w:cs="David"/>
          <w:sz w:val="26"/>
          <w:szCs w:val="26"/>
          <w:rtl/>
        </w:rPr>
        <w:t>ק מהאוכלוסיה האמורה מועסקת במפעלים מוגנים ובמרכזי תעסוקה שיקומיים, שהינם מקומות תעסוקה המיועדת לאוכלוסיה האמורה בלבד (כגון, המשקם), ואילו חלק אחר מהאוכלוסיה האמורה משתלבת בכוחות עצמם או בסיוע עמותות, גופים או זרועות המדינה, בעבודה בשוק החופשי, עם מגוון רמו</w:t>
      </w:r>
      <w:r>
        <w:rPr>
          <w:rFonts w:cs="David"/>
          <w:sz w:val="26"/>
          <w:szCs w:val="26"/>
          <w:rtl/>
        </w:rPr>
        <w:t>ת שכר, מהם ברמות שכר ממוצעות, חלקם אף ברמות שכר גבוהות וחלקם ברמת שכר מינימום מופחת (מתואם) כמשמעותו בתקנות שכר מינימום מופחת (3/4 משכר המינימום, מחצית משכר המינימום או 1/3 משכר המינימום).</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קבוצה נוספת של אנשים עם מוגבלות הינה קבוצה המצויה מבחינה קוגנטיבית</w:t>
      </w:r>
      <w:r>
        <w:rPr>
          <w:rFonts w:cs="David"/>
          <w:sz w:val="26"/>
          <w:szCs w:val="26"/>
          <w:rtl/>
        </w:rPr>
        <w:t xml:space="preserve"> ברמה גבוה יותר מאלה המועסקים במפעלים המוגנים, אך טרם הגיעו לרמה בה יוכלו להיות מועסקים בשוק החופשי אף לא ברמה של שכר מינימום מופחת ברמה הנמוכה. </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 xml:space="preserve">מטרתה של הצעה זו לסייע לאוכלוסיה האמורה להשתלב בתעסוקה נתמכת, בשוק העבודה הנורמטיבי, לצד העובדים ה"רגילים",  </w:t>
      </w:r>
      <w:r>
        <w:rPr>
          <w:rFonts w:cs="David"/>
          <w:sz w:val="26"/>
          <w:szCs w:val="26"/>
          <w:rtl/>
        </w:rPr>
        <w:t>וזאת בסיוע גורמים מקצועיים המתמחים באיתור מקומות תעסוקה, התאמת משתקם למקום תעסוקה, הדרכה וליווי המשתקם לכל אורך ההעסקה. בדרך זו יתאפשר לאדם עם מוגבלות אשר אינו יכול להשתלב בעבודה במשק החופשי, להשתלב בתעסוקה נתמכת, בסביבת עבודה רגילה.</w:t>
      </w:r>
    </w:p>
    <w:p w:rsidR="00000000" w:rsidRDefault="00C92571">
      <w:pPr>
        <w:spacing w:line="360" w:lineRule="auto"/>
        <w:jc w:val="both"/>
        <w:rPr>
          <w:rFonts w:cs="David"/>
          <w:sz w:val="26"/>
          <w:szCs w:val="26"/>
          <w:rtl/>
        </w:rPr>
      </w:pPr>
      <w:r>
        <w:rPr>
          <w:rFonts w:cs="David"/>
          <w:sz w:val="26"/>
          <w:szCs w:val="26"/>
          <w:rtl/>
        </w:rPr>
        <w:lastRenderedPageBreak/>
        <w:t>בפועל קיימים מקומות רב</w:t>
      </w:r>
      <w:r>
        <w:rPr>
          <w:rFonts w:cs="David"/>
          <w:sz w:val="26"/>
          <w:szCs w:val="26"/>
          <w:rtl/>
        </w:rPr>
        <w:t>ים המעוניינים להעסיק אוכלוסיה זו – לרבות גורמים ממשלתיים –הנמנעים מלעשות כן בשל העדר קביעה חוקית באשר למעמדם: קיום או אי קיום יחסי עובד-מעביד, בשל אי הסדרת זכויותיו של המשתקם והתמורה שיש לשלם לו, ובעיקר בשל אי הסדרת היקף חובותיו של הבעלים של מקום התעסוקה כ</w:t>
      </w:r>
      <w:r>
        <w:rPr>
          <w:rFonts w:cs="David"/>
          <w:sz w:val="26"/>
          <w:szCs w:val="26"/>
          <w:rtl/>
        </w:rPr>
        <w:t>לפי המשתקם.</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מוצע לקבוע כי לא יתקיימו יחסי עובד-מעביד בין מקום התעסוקה למשתקם בהתקיים התנאים המוצעים בסעיף 2 להצעת החוק, קרי אם המשתקם הופנה למקום התעסוקה ומטופל על ידי הגורמים המקצועיים, והמשתקם אינו נמצא ברמה המינימלית המאפשרת תשלום שכר מינימום ברמה הנמו</w:t>
      </w:r>
      <w:r>
        <w:rPr>
          <w:rFonts w:cs="David"/>
          <w:sz w:val="26"/>
          <w:szCs w:val="26"/>
          <w:rtl/>
        </w:rPr>
        <w:t>כה ביותר (1/3 משכר המינימום).</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בהעדר קיום יחסי עובד-מעביד, מוצע לקבוע כי מקום התעסוקה ישלם למשתקם במישרין או באמצעות הגוף המקצועי, הוצאות עבור השירות שהמשתקם מבצע במקום התעסוקה.</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בכדי לתת למשתקם זכויות בסיסיות הדומות לאלה של העובדים "הרגילים", מוצע לקבוע ב</w:t>
      </w:r>
      <w:r>
        <w:rPr>
          <w:rFonts w:cs="David"/>
          <w:sz w:val="26"/>
          <w:szCs w:val="26"/>
          <w:rtl/>
        </w:rPr>
        <w:t>נוסף, כי על מקום עבודה תחול החובה לשלם למשתקם הוצאות בגובה דמי נסיעה ודמי הבראה, הכל  בהתאם להיקף התעסוקה במקום ולגובה ההוצאות הבסיסיות המשולמות למשתקם. כן תוענק למשתקם  הזכות להעדר בשל חופשה או מחלה, בדומה לזכויותיו של עובד בתחומים אלה.</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הצעת חוק זו תאפשר</w:t>
      </w:r>
      <w:r>
        <w:rPr>
          <w:rFonts w:cs="David"/>
          <w:sz w:val="26"/>
          <w:szCs w:val="26"/>
          <w:rtl/>
        </w:rPr>
        <w:t xml:space="preserve"> מחד, שילובה של אוכלוסיית האנשים עם מוגבלות  בתעסוקה הולמת במקומות נורמטיביים, תביא להעלאת הדימוי העצמי שלהם,  ותביא לידי ביטוי את היכולת שלהם לתרום במקומות התעסוקה. מאידך, ההצעה תסדיר את אי הבהירות הקיימת כיום, ותקבע באופן מפורש  כי אין מתקיימים יחסי עובד</w:t>
      </w:r>
      <w:r>
        <w:rPr>
          <w:rFonts w:cs="David"/>
          <w:sz w:val="26"/>
          <w:szCs w:val="26"/>
          <w:rtl/>
        </w:rPr>
        <w:t>-מעביד בינם לבין מקומות התעסוקה, ותגדיר את היקף חובותיו של בעל מקום התעסוקה כלפי המשתקם.</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הצעת חוק זו אינה כרוכה בעלות כספית כלשהי.</w:t>
      </w:r>
    </w:p>
    <w:p w:rsidR="00000000" w:rsidRDefault="00C92571">
      <w:pPr>
        <w:spacing w:line="360" w:lineRule="auto"/>
        <w:jc w:val="both"/>
        <w:rPr>
          <w:rFonts w:cs="David"/>
          <w:sz w:val="26"/>
          <w:szCs w:val="26"/>
          <w:rtl/>
        </w:rPr>
      </w:pPr>
    </w:p>
    <w:p w:rsidR="00000000" w:rsidRDefault="00C92571">
      <w:pPr>
        <w:spacing w:line="360" w:lineRule="auto"/>
        <w:jc w:val="both"/>
        <w:rPr>
          <w:rFonts w:cs="David"/>
          <w:sz w:val="26"/>
          <w:szCs w:val="26"/>
          <w:rtl/>
        </w:rPr>
      </w:pPr>
      <w:r>
        <w:rPr>
          <w:rFonts w:cs="David"/>
          <w:sz w:val="26"/>
          <w:szCs w:val="26"/>
          <w:rtl/>
        </w:rPr>
        <w:t xml:space="preserve">הצעת חוק זהה הונחה על שולחן הכנסת השש-עשרה על ידי חבר הכנסת שאול יהלום </w:t>
      </w:r>
      <w:bookmarkStart w:id="1" w:name="MisHatzaatChok"/>
      <w:r>
        <w:rPr>
          <w:rFonts w:cs="David"/>
          <w:sz w:val="26"/>
          <w:szCs w:val="26"/>
          <w:rtl/>
        </w:rPr>
        <w:t>(</w:t>
      </w:r>
      <w:bookmarkEnd w:id="1"/>
      <w:r>
        <w:rPr>
          <w:rFonts w:cs="David"/>
          <w:sz w:val="26"/>
          <w:szCs w:val="26"/>
          <w:rtl/>
        </w:rPr>
        <w:t>פ/2719).</w:t>
      </w:r>
    </w:p>
    <w:p w:rsidR="00000000" w:rsidRDefault="00C92571">
      <w:pPr>
        <w:spacing w:line="360" w:lineRule="auto"/>
        <w:jc w:val="both"/>
        <w:rPr>
          <w:rFonts w:cs="David"/>
          <w:sz w:val="26"/>
          <w:szCs w:val="26"/>
          <w:rtl/>
        </w:rPr>
      </w:pPr>
    </w:p>
    <w:p w:rsidR="00000000" w:rsidRDefault="00C92571">
      <w:pPr>
        <w:pStyle w:val="a3"/>
        <w:spacing w:line="360" w:lineRule="auto"/>
        <w:jc w:val="left"/>
        <w:rPr>
          <w:rFonts w:cs="David"/>
          <w:b w:val="0"/>
          <w:bCs w:val="0"/>
          <w:sz w:val="26"/>
          <w:szCs w:val="26"/>
          <w:u w:val="none"/>
          <w:rtl/>
        </w:rPr>
      </w:pPr>
    </w:p>
    <w:p w:rsidR="00000000" w:rsidRDefault="00C92571">
      <w:pPr>
        <w:pStyle w:val="a3"/>
        <w:spacing w:line="360" w:lineRule="auto"/>
        <w:jc w:val="left"/>
        <w:rPr>
          <w:rFonts w:cs="David"/>
          <w:b w:val="0"/>
          <w:bCs w:val="0"/>
          <w:sz w:val="26"/>
          <w:szCs w:val="26"/>
          <w:u w:val="none"/>
          <w:rtl/>
        </w:rPr>
      </w:pPr>
      <w:r>
        <w:rPr>
          <w:rFonts w:cs="David"/>
          <w:b w:val="0"/>
          <w:bCs w:val="0"/>
          <w:sz w:val="26"/>
          <w:szCs w:val="26"/>
          <w:u w:val="none"/>
          <w:rtl/>
        </w:rPr>
        <w:t>------------</w:t>
      </w:r>
      <w:r>
        <w:rPr>
          <w:rFonts w:cs="David"/>
          <w:b w:val="0"/>
          <w:bCs w:val="0"/>
          <w:sz w:val="26"/>
          <w:szCs w:val="26"/>
          <w:u w:val="none"/>
          <w:rtl/>
        </w:rPr>
        <w:t>---------------------</w:t>
      </w:r>
    </w:p>
    <w:p w:rsidR="00000000" w:rsidRDefault="00C92571">
      <w:pPr>
        <w:pStyle w:val="a3"/>
        <w:spacing w:line="360" w:lineRule="auto"/>
        <w:jc w:val="left"/>
        <w:rPr>
          <w:rFonts w:cs="David"/>
          <w:b w:val="0"/>
          <w:bCs w:val="0"/>
          <w:sz w:val="26"/>
          <w:szCs w:val="26"/>
          <w:u w:val="none"/>
          <w:rtl/>
        </w:rPr>
      </w:pPr>
      <w:r>
        <w:rPr>
          <w:rFonts w:cs="David"/>
          <w:b w:val="0"/>
          <w:bCs w:val="0"/>
          <w:sz w:val="26"/>
          <w:szCs w:val="26"/>
          <w:u w:val="none"/>
          <w:rtl/>
        </w:rPr>
        <w:t>הוגשה ליו"ר הכנסת והסגנים</w:t>
      </w:r>
    </w:p>
    <w:p w:rsidR="00000000" w:rsidRDefault="00C92571">
      <w:pPr>
        <w:pStyle w:val="a3"/>
        <w:spacing w:line="360" w:lineRule="auto"/>
        <w:jc w:val="left"/>
        <w:rPr>
          <w:rFonts w:cs="David"/>
          <w:b w:val="0"/>
          <w:bCs w:val="0"/>
          <w:sz w:val="26"/>
          <w:szCs w:val="26"/>
          <w:u w:val="none"/>
          <w:rtl/>
        </w:rPr>
      </w:pPr>
      <w:r>
        <w:rPr>
          <w:rFonts w:cs="David"/>
          <w:b w:val="0"/>
          <w:bCs w:val="0"/>
          <w:sz w:val="26"/>
          <w:szCs w:val="26"/>
          <w:u w:val="none"/>
          <w:rtl/>
        </w:rPr>
        <w:t>והונחה על שולחן הכנסת ביום</w:t>
      </w:r>
    </w:p>
    <w:p w:rsidR="00000000" w:rsidRDefault="00C92571">
      <w:pPr>
        <w:pStyle w:val="a3"/>
        <w:spacing w:line="360" w:lineRule="auto"/>
        <w:jc w:val="left"/>
        <w:rPr>
          <w:rFonts w:cs="David"/>
          <w:b w:val="0"/>
          <w:bCs w:val="0"/>
          <w:sz w:val="26"/>
          <w:szCs w:val="26"/>
          <w:u w:val="none"/>
          <w:rtl/>
        </w:rPr>
      </w:pPr>
      <w:r>
        <w:rPr>
          <w:rFonts w:cs="David"/>
          <w:b w:val="0"/>
          <w:bCs w:val="0"/>
          <w:sz w:val="26"/>
          <w:szCs w:val="26"/>
          <w:u w:val="none"/>
          <w:rtl/>
        </w:rPr>
        <w:t>כ"א בתמוז התשס"ו – 17.7.06</w:t>
      </w:r>
    </w:p>
    <w:p w:rsidR="00000000" w:rsidRDefault="00C92571">
      <w:pPr>
        <w:pStyle w:val="a3"/>
        <w:spacing w:line="360" w:lineRule="auto"/>
        <w:jc w:val="left"/>
        <w:rPr>
          <w:rFonts w:cs="David"/>
          <w:b w:val="0"/>
          <w:bCs w:val="0"/>
          <w:sz w:val="26"/>
          <w:szCs w:val="26"/>
          <w:u w:val="none"/>
        </w:rPr>
      </w:pPr>
    </w:p>
    <w:sectPr w:rsidR="00000000">
      <w:headerReference w:type="default" r:id="rId6"/>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92571">
      <w:r>
        <w:separator/>
      </w:r>
    </w:p>
  </w:endnote>
  <w:endnote w:type="continuationSeparator" w:id="0">
    <w:p w:rsidR="00000000" w:rsidRDefault="00C92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92571">
      <w:r>
        <w:separator/>
      </w:r>
    </w:p>
  </w:footnote>
  <w:footnote w:type="continuationSeparator" w:id="0">
    <w:p w:rsidR="00000000" w:rsidRDefault="00C92571">
      <w:r>
        <w:continuationSeparator/>
      </w:r>
    </w:p>
  </w:footnote>
  <w:footnote w:id="1">
    <w:p w:rsidR="00000000" w:rsidRDefault="00C92571">
      <w:pPr>
        <w:pStyle w:val="a8"/>
      </w:pPr>
      <w:r>
        <w:rPr>
          <w:rStyle w:val="aa"/>
          <w:rFonts w:cs="David"/>
        </w:rPr>
        <w:footnoteRef/>
      </w:r>
      <w:r>
        <w:rPr>
          <w:rFonts w:cs="David"/>
        </w:rPr>
        <w:t xml:space="preserve"> </w:t>
      </w:r>
      <w:r>
        <w:rPr>
          <w:rFonts w:cs="David"/>
          <w:rtl/>
        </w:rPr>
        <w:t xml:space="preserve"> ס"ח התשמ"ז, עמ' 68. </w:t>
      </w:r>
    </w:p>
  </w:footnote>
  <w:footnote w:id="2">
    <w:p w:rsidR="00000000" w:rsidRDefault="00C92571">
      <w:pPr>
        <w:pStyle w:val="a8"/>
      </w:pPr>
      <w:r>
        <w:rPr>
          <w:rStyle w:val="aa"/>
          <w:rFonts w:cs="David"/>
        </w:rPr>
        <w:footnoteRef/>
      </w:r>
      <w:r>
        <w:rPr>
          <w:rFonts w:cs="David"/>
        </w:rPr>
        <w:t xml:space="preserve"> </w:t>
      </w:r>
      <w:r>
        <w:rPr>
          <w:rFonts w:cs="David"/>
          <w:rtl/>
        </w:rPr>
        <w:t xml:space="preserve"> ק"ת התשס"ב, עמ' 460. </w:t>
      </w:r>
    </w:p>
  </w:footnote>
  <w:footnote w:id="3">
    <w:p w:rsidR="00000000" w:rsidRDefault="00C92571">
      <w:pPr>
        <w:pStyle w:val="a8"/>
      </w:pPr>
      <w:r>
        <w:rPr>
          <w:rStyle w:val="aa"/>
          <w:rFonts w:cs="David"/>
        </w:rPr>
        <w:footnoteRef/>
      </w:r>
      <w:r>
        <w:rPr>
          <w:rFonts w:cs="David"/>
        </w:rPr>
        <w:t xml:space="preserve"> </w:t>
      </w:r>
      <w:r>
        <w:rPr>
          <w:rFonts w:cs="David"/>
          <w:rtl/>
        </w:rPr>
        <w:t xml:space="preserve"> ס"ח התשנ"ה, עמ' 210. </w:t>
      </w:r>
    </w:p>
  </w:footnote>
  <w:footnote w:id="4">
    <w:p w:rsidR="00000000" w:rsidRDefault="00C92571">
      <w:pPr>
        <w:pStyle w:val="a8"/>
      </w:pPr>
      <w:r>
        <w:rPr>
          <w:rStyle w:val="aa"/>
          <w:rFonts w:cs="David"/>
        </w:rPr>
        <w:footnoteRef/>
      </w:r>
      <w:r>
        <w:rPr>
          <w:rFonts w:cs="David"/>
        </w:rPr>
        <w:t xml:space="preserve"> </w:t>
      </w:r>
      <w:r>
        <w:rPr>
          <w:rFonts w:cs="David"/>
          <w:rtl/>
        </w:rPr>
        <w:t xml:space="preserve"> ס"ח התשי"א, עמ' 234. </w:t>
      </w:r>
    </w:p>
  </w:footnote>
  <w:footnote w:id="5">
    <w:p w:rsidR="00000000" w:rsidRDefault="00C92571">
      <w:pPr>
        <w:pStyle w:val="a8"/>
      </w:pPr>
      <w:r>
        <w:rPr>
          <w:rStyle w:val="aa"/>
          <w:rFonts w:cs="David"/>
        </w:rPr>
        <w:footnoteRef/>
      </w:r>
      <w:r>
        <w:rPr>
          <w:rFonts w:cs="David"/>
        </w:rPr>
        <w:t xml:space="preserve"> </w:t>
      </w:r>
      <w:r>
        <w:rPr>
          <w:rFonts w:cs="David"/>
          <w:rtl/>
        </w:rPr>
        <w:t xml:space="preserve"> ס"ח התשל"ו, עמ</w:t>
      </w:r>
      <w:r>
        <w:rPr>
          <w:rFonts w:cs="David"/>
          <w:rtl/>
        </w:rPr>
        <w:t xml:space="preserve">' 206.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92571">
    <w:pPr>
      <w:pStyle w:val="a5"/>
      <w:framePr w:wrap="auto" w:vAnchor="text" w:hAnchor="margin" w:xAlign="center" w:y="1"/>
      <w:rPr>
        <w:rStyle w:val="a7"/>
        <w:rtl/>
      </w:rPr>
    </w:pPr>
    <w:r>
      <w:rPr>
        <w:rStyle w:val="a7"/>
      </w:rPr>
      <w:fldChar w:fldCharType="begin"/>
    </w:r>
    <w:r>
      <w:rPr>
        <w:rStyle w:val="a7"/>
      </w:rPr>
      <w:instrText xml:space="preserve">PAGE  </w:instrText>
    </w:r>
    <w:r>
      <w:rPr>
        <w:rStyle w:val="a7"/>
      </w:rPr>
      <w:fldChar w:fldCharType="separate"/>
    </w:r>
    <w:r>
      <w:rPr>
        <w:rStyle w:val="a7"/>
        <w:noProof/>
        <w:rtl/>
      </w:rPr>
      <w:t>4</w:t>
    </w:r>
    <w:r>
      <w:rPr>
        <w:rStyle w:val="a7"/>
      </w:rPr>
      <w:fldChar w:fldCharType="end"/>
    </w:r>
  </w:p>
  <w:p w:rsidR="00000000" w:rsidRDefault="00C92571">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32075æáåìåï àåøìá - äöòú çå÷ úòñå÷ä ðúîëú.doc"/>
    <w:docVar w:name="StartMode" w:val="2"/>
  </w:docVars>
  <w:rsids>
    <w:rsidRoot w:val="00C92571"/>
    <w:rsid w:val="00C925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nhideWhenUsed="0"/>
    <w:lsdException w:name="header" w:unhideWhenUsed="0"/>
    <w:lsdException w:name="caption" w:uiPriority="35" w:qFormat="1"/>
    <w:lsdException w:name="footnote reference" w:unhideWhenUsed="0"/>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2">
    <w:name w:val="heading 2"/>
    <w:basedOn w:val="a"/>
    <w:next w:val="a"/>
    <w:link w:val="20"/>
    <w:uiPriority w:val="99"/>
    <w:qFormat/>
    <w:pPr>
      <w:keepNext/>
      <w:jc w:val="center"/>
      <w:outlineLvl w:val="1"/>
    </w:pPr>
    <w:rPr>
      <w:sz w:val="26"/>
      <w:szCs w:val="26"/>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rFonts w:eastAsia="Times New Roman"/>
      <w:b/>
      <w:bCs/>
      <w:sz w:val="28"/>
      <w:szCs w:val="28"/>
      <w:u w:val="single"/>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character" w:styleId="a7">
    <w:name w:val="page number"/>
    <w:basedOn w:val="a0"/>
    <w:uiPriority w:val="99"/>
    <w:rPr>
      <w:rFonts w:cs="Times New Roman"/>
    </w:rPr>
  </w:style>
  <w:style w:type="paragraph" w:styleId="a8">
    <w:name w:val="footnote text"/>
    <w:basedOn w:val="a"/>
    <w:link w:val="a9"/>
    <w:uiPriority w:val="99"/>
    <w:rPr>
      <w:sz w:val="20"/>
      <w:szCs w:val="20"/>
    </w:rPr>
  </w:style>
  <w:style w:type="character" w:customStyle="1" w:styleId="a9">
    <w:name w:val="טקסט הערת שוליים תו"/>
    <w:basedOn w:val="a0"/>
    <w:link w:val="a8"/>
    <w:uiPriority w:val="99"/>
    <w:semiHidden/>
    <w:rPr>
      <w:rFonts w:ascii="Times New Roman" w:hAnsi="Times New Roman" w:cs="Times New Roman"/>
      <w:sz w:val="20"/>
      <w:szCs w:val="20"/>
      <w:lang w:eastAsia="he-IL"/>
    </w:rPr>
  </w:style>
  <w:style w:type="character" w:styleId="aa">
    <w:name w:val="footnote reference"/>
    <w:basedOn w:val="a0"/>
    <w:uiPriority w:val="99"/>
    <w:rPr>
      <w:rFonts w:cs="Times New Roman"/>
      <w:vertAlign w:val="superscript"/>
    </w:rPr>
  </w:style>
  <w:style w:type="paragraph" w:styleId="ab">
    <w:name w:val="Balloon Text"/>
    <w:basedOn w:val="a"/>
    <w:link w:val="ac"/>
    <w:uiPriority w:val="99"/>
    <w:rPr>
      <w:rFonts w:ascii="Tahoma" w:eastAsia="Times New Roman" w:hAnsi="Tahoma"/>
      <w:sz w:val="16"/>
      <w:szCs w:val="16"/>
    </w:rPr>
  </w:style>
  <w:style w:type="character" w:customStyle="1" w:styleId="ac">
    <w:name w:val="טקסט בלונים תו"/>
    <w:basedOn w:val="a0"/>
    <w:link w:val="ab"/>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924</Words>
  <Characters>4621</Characters>
  <Application>Microsoft Office Word</Application>
  <DocSecurity>0</DocSecurity>
  <Lines>38</Lines>
  <Paragraphs>11</Paragraphs>
  <ScaleCrop>false</ScaleCrop>
  <Company>knesset</Company>
  <LinksUpToDate>false</LinksUpToDate>
  <CharactersWithSpaces>5534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תעסוקה נתמכת, התשס"ו-2006</dc:title>
  <dc:subject/>
  <dc:creator>Knesset</dc:creator>
  <cp:keywords/>
  <dc:description/>
  <cp:lastModifiedBy>שמואל כוכב</cp:lastModifiedBy>
  <cp:revision>2</cp:revision>
  <cp:lastPrinted>2006-07-10T08:10:00Z</cp:lastPrinted>
  <dcterms:created xsi:type="dcterms:W3CDTF">2015-02-03T16:35:00Z</dcterms:created>
  <dcterms:modified xsi:type="dcterms:W3CDTF">2015-02-03T16:35:00Z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129</vt:i4>
  </property>
  <property fmtid="{D5CDD505-2E9C-101B-9397-08002B2CF9AE}" pid="3" name="Nose">
    <vt:lpwstr>':הלשכה המשפטית:חקיקה - נוסח:1.טיוטה לטרומית'_x000d__x000d_</vt:lpwstr>
  </property>
  <property fmtid="{D5CDD505-2E9C-101B-9397-08002B2CF9AE}" pid="4" name="Tizkoret">
    <vt:lpwstr/>
  </property>
  <property fmtid="{D5CDD505-2E9C-101B-9397-08002B2CF9AE}" pid="5" name="YozemHatzaa_ChakList">
    <vt:lpwstr>זבולון אורלב</vt:lpwstr>
  </property>
  <property fmtid="{D5CDD505-2E9C-101B-9397-08002B2CF9AE}" pid="6" name="סימוכין">
    <vt:i4>4583105</vt:i4>
  </property>
  <property fmtid="{D5CDD505-2E9C-101B-9397-08002B2CF9AE}" pid="7" name="תאריך המסמך">
    <vt:filetime>2005-03-03T22:00:00Z</vt:filetime>
  </property>
  <property fmtid="{D5CDD505-2E9C-101B-9397-08002B2CF9AE}" pid="8" name="CodeProfile">
    <vt:lpwstr>85</vt:lpwstr>
  </property>
  <property fmtid="{D5CDD505-2E9C-101B-9397-08002B2CF9AE}" pid="9" name="AutoNumber">
    <vt:lpwstr>03791306</vt:lpwstr>
  </property>
  <property fmtid="{D5CDD505-2E9C-101B-9397-08002B2CF9AE}" pid="10" name="מספר הצעת חוק למיון">
    <vt:lpwstr>1018</vt:lpwstr>
  </property>
  <property fmtid="{D5CDD505-2E9C-101B-9397-08002B2CF9AE}" pid="11" name="SDDocDate">
    <vt:lpwstr>2006-07-10T00:00:00Z</vt:lpwstr>
  </property>
  <property fmtid="{D5CDD505-2E9C-101B-9397-08002B2CF9AE}" pid="12" name="SDHebDate">
    <vt:lpwstr>י"ד בתמוז, התשס"ו</vt:lpwstr>
  </property>
  <property fmtid="{D5CDD505-2E9C-101B-9397-08002B2CF9AE}" pid="13" name="SDCategories">
    <vt:lpwstr>:דף הבית:נושאים:חקיקה:נוסח לדיון מוקדם;#:הלשכה המשפטית:הצעות חוק - כנסת 17;#</vt:lpwstr>
  </property>
  <property fmtid="{D5CDD505-2E9C-101B-9397-08002B2CF9AE}" pid="14" name="תאריך הנחה">
    <vt:lpwstr/>
  </property>
  <property fmtid="{D5CDD505-2E9C-101B-9397-08002B2CF9AE}" pid="15" name="HebrewDate">
    <vt:lpwstr/>
  </property>
  <property fmtid="{D5CDD505-2E9C-101B-9397-08002B2CF9AE}" pid="16" name="SDAuthor">
    <vt:lpwstr>כוכי שבתאי</vt:lpwstr>
  </property>
  <property fmtid="{D5CDD505-2E9C-101B-9397-08002B2CF9AE}" pid="17" name="MechaberMismach">
    <vt:lpwstr/>
  </property>
  <property fmtid="{D5CDD505-2E9C-101B-9397-08002B2CF9AE}" pid="18" name="MisHatzaatChok">
    <vt:lpwstr>פ/1018/17</vt:lpwstr>
  </property>
  <property fmtid="{D5CDD505-2E9C-101B-9397-08002B2CF9AE}" pid="19" name="SDRemark">
    <vt:lpwstr/>
  </property>
  <property fmtid="{D5CDD505-2E9C-101B-9397-08002B2CF9AE}" pid="20" name="SDOfflineTo">
    <vt:lpwstr/>
  </property>
  <property fmtid="{D5CDD505-2E9C-101B-9397-08002B2CF9AE}" pid="21" name="SDDistList">
    <vt:lpwstr/>
  </property>
  <property fmtid="{D5CDD505-2E9C-101B-9397-08002B2CF9AE}" pid="22" name="SDDistDate">
    <vt:lpwstr/>
  </property>
  <property fmtid="{D5CDD505-2E9C-101B-9397-08002B2CF9AE}" pid="23" name="SDOriginalID">
    <vt:lpwstr/>
  </property>
  <property fmtid="{D5CDD505-2E9C-101B-9397-08002B2CF9AE}" pid="24" name="SDSenderName">
    <vt:lpwstr/>
  </property>
  <property fmtid="{D5CDD505-2E9C-101B-9397-08002B2CF9AE}" pid="25" name="SDToList">
    <vt:lpwstr/>
  </property>
  <property fmtid="{D5CDD505-2E9C-101B-9397-08002B2CF9AE}" pid="26" name="SDCCList">
    <vt:lpwstr/>
  </property>
  <property fmtid="{D5CDD505-2E9C-101B-9397-08002B2CF9AE}" pid="27" name="STHasReminders">
    <vt:lpwstr>0</vt:lpwstr>
  </property>
  <property fmtid="{D5CDD505-2E9C-101B-9397-08002B2CF9AE}" pid="28" name="SDLink">
    <vt:lpwstr>, </vt:lpwstr>
  </property>
  <property fmtid="{D5CDD505-2E9C-101B-9397-08002B2CF9AE}" pid="29" name="Num_Gim1">
    <vt:lpwstr/>
  </property>
  <property fmtid="{D5CDD505-2E9C-101B-9397-08002B2CF9AE}" pid="30" name="NoseA">
    <vt:lpwstr/>
  </property>
  <property fmtid="{D5CDD505-2E9C-101B-9397-08002B2CF9AE}" pid="31" name="NoseB">
    <vt:lpwstr/>
  </property>
  <property fmtid="{D5CDD505-2E9C-101B-9397-08002B2CF9AE}" pid="32" name="knesset_number">
    <vt:lpwstr/>
  </property>
  <property fmtid="{D5CDD505-2E9C-101B-9397-08002B2CF9AE}" pid="33" name="ValidFrom">
    <vt:lpwstr/>
  </property>
  <property fmtid="{D5CDD505-2E9C-101B-9397-08002B2CF9AE}" pid="34" name="ValidUntill">
    <vt:lpwstr/>
  </property>
  <property fmtid="{D5CDD505-2E9C-101B-9397-08002B2CF9AE}" pid="35" name="To1">
    <vt:lpwstr/>
  </property>
  <property fmtid="{D5CDD505-2E9C-101B-9397-08002B2CF9AE}" pid="36" name="From">
    <vt:lpwstr/>
  </property>
  <property fmtid="{D5CDD505-2E9C-101B-9397-08002B2CF9AE}" pid="37" name="body">
    <vt:lpwstr/>
  </property>
</Properties>
</file>