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20CD7">
      <w:pPr>
        <w:pStyle w:val="a3"/>
        <w:spacing w:line="360" w:lineRule="auto"/>
        <w:rPr>
          <w:rFonts w:cs="David"/>
          <w:u w:val="none"/>
          <w:rtl/>
        </w:rPr>
      </w:pPr>
      <w:bookmarkStart w:id="0" w:name="_GoBack"/>
      <w:bookmarkEnd w:id="0"/>
      <w:r>
        <w:rPr>
          <w:rFonts w:cs="David"/>
          <w:u w:val="none"/>
          <w:rtl/>
        </w:rPr>
        <w:t>הכנסת השבע-עשרה</w:t>
      </w:r>
    </w:p>
    <w:p w:rsidR="00000000" w:rsidRDefault="00820CD7">
      <w:pPr>
        <w:pStyle w:val="a3"/>
        <w:spacing w:line="360" w:lineRule="auto"/>
        <w:rPr>
          <w:rFonts w:cs="David"/>
          <w:b w:val="0"/>
          <w:bCs w:val="0"/>
          <w:sz w:val="26"/>
          <w:szCs w:val="26"/>
          <w:u w:val="none"/>
          <w:rtl/>
        </w:rPr>
      </w:pPr>
    </w:p>
    <w:tbl>
      <w:tblPr>
        <w:bidiVisual/>
        <w:tblW w:w="0" w:type="auto"/>
        <w:tblInd w:w="4132" w:type="dxa"/>
        <w:tblBorders>
          <w:bottom w:val="single" w:sz="4" w:space="0" w:color="auto"/>
        </w:tblBorders>
        <w:tblLook w:val="0000" w:firstRow="0" w:lastRow="0" w:firstColumn="0" w:lastColumn="0" w:noHBand="0" w:noVBand="0"/>
      </w:tblPr>
      <w:tblGrid>
        <w:gridCol w:w="4390"/>
      </w:tblGrid>
      <w:tr w:rsidR="00000000">
        <w:tblPrEx>
          <w:tblCellMar>
            <w:top w:w="0" w:type="dxa"/>
            <w:bottom w:w="0" w:type="dxa"/>
          </w:tblCellMar>
        </w:tblPrEx>
        <w:tc>
          <w:tcPr>
            <w:tcW w:w="4390" w:type="dxa"/>
            <w:tcBorders>
              <w:top w:val="nil"/>
              <w:left w:val="nil"/>
              <w:bottom w:val="single" w:sz="4" w:space="0" w:color="auto"/>
              <w:right w:val="nil"/>
            </w:tcBorders>
          </w:tcPr>
          <w:p w:rsidR="00000000" w:rsidRDefault="00820CD7">
            <w:pPr>
              <w:spacing w:after="120"/>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חבר הכנסת </w:t>
            </w:r>
            <w:r>
              <w:rPr>
                <w:rFonts w:cs="David"/>
                <w:b/>
                <w:bCs/>
                <w:sz w:val="26"/>
                <w:szCs w:val="26"/>
                <w:rtl/>
              </w:rPr>
              <w:t>ניסן סלומינסקי</w:t>
            </w:r>
          </w:p>
        </w:tc>
      </w:tr>
    </w:tbl>
    <w:p w:rsidR="00000000" w:rsidRDefault="00820CD7">
      <w:pPr>
        <w:spacing w:line="360" w:lineRule="auto"/>
        <w:jc w:val="center"/>
        <w:rPr>
          <w:rFonts w:cs="David"/>
          <w:b/>
          <w:bCs/>
          <w:rtl/>
        </w:rPr>
      </w:pPr>
      <w:r>
        <w:rPr>
          <w:rFonts w:cs="David"/>
          <w:sz w:val="26"/>
          <w:szCs w:val="26"/>
          <w:rtl/>
        </w:rPr>
        <w:tab/>
      </w:r>
      <w:r>
        <w:rPr>
          <w:rFonts w:cs="David"/>
          <w:sz w:val="26"/>
          <w:szCs w:val="26"/>
          <w:rtl/>
        </w:rPr>
        <w:tab/>
      </w:r>
      <w:r>
        <w:rPr>
          <w:rFonts w:cs="David"/>
          <w:b/>
          <w:bCs/>
          <w:rtl/>
        </w:rPr>
        <w:t xml:space="preserve">                                                  פ/1429/17</w:t>
      </w:r>
    </w:p>
    <w:p w:rsidR="00000000" w:rsidRDefault="00820CD7">
      <w:pPr>
        <w:spacing w:line="360" w:lineRule="auto"/>
        <w:jc w:val="center"/>
        <w:rPr>
          <w:rFonts w:cs="David"/>
          <w:sz w:val="26"/>
          <w:szCs w:val="26"/>
          <w:rtl/>
        </w:rPr>
      </w:pPr>
    </w:p>
    <w:p w:rsidR="00000000" w:rsidRDefault="00820CD7">
      <w:pPr>
        <w:jc w:val="center"/>
        <w:rPr>
          <w:rFonts w:cs="David"/>
          <w:b/>
          <w:bCs/>
          <w:sz w:val="28"/>
          <w:szCs w:val="28"/>
          <w:rtl/>
        </w:rPr>
      </w:pPr>
      <w:r>
        <w:rPr>
          <w:rFonts w:cs="David"/>
          <w:b/>
          <w:bCs/>
          <w:sz w:val="28"/>
          <w:szCs w:val="28"/>
          <w:rtl/>
        </w:rPr>
        <w:t>הצעת חוק לתיקון פקודת בריאות העם (זכות ערעור למשפחה לענין הוצאת גופה מקברה), התשס"ו-2006</w:t>
      </w:r>
    </w:p>
    <w:p w:rsidR="00000000" w:rsidRDefault="00820CD7">
      <w:pPr>
        <w:jc w:val="both"/>
        <w:rPr>
          <w:rFonts w:cs="David"/>
          <w:sz w:val="26"/>
          <w:szCs w:val="26"/>
          <w:rtl/>
        </w:rPr>
      </w:pPr>
    </w:p>
    <w:tbl>
      <w:tblPr>
        <w:bidiVisual/>
        <w:tblW w:w="8594" w:type="dxa"/>
        <w:tblInd w:w="-72" w:type="dxa"/>
        <w:tblLook w:val="0000" w:firstRow="0" w:lastRow="0" w:firstColumn="0" w:lastColumn="0" w:noHBand="0" w:noVBand="0"/>
      </w:tblPr>
      <w:tblGrid>
        <w:gridCol w:w="1191"/>
        <w:gridCol w:w="567"/>
        <w:gridCol w:w="567"/>
        <w:gridCol w:w="689"/>
        <w:gridCol w:w="5580"/>
      </w:tblGrid>
      <w:tr w:rsidR="00000000">
        <w:tc>
          <w:tcPr>
            <w:tcW w:w="1191" w:type="dxa"/>
            <w:tcBorders>
              <w:top w:val="nil"/>
              <w:left w:val="nil"/>
              <w:bottom w:val="nil"/>
              <w:right w:val="nil"/>
            </w:tcBorders>
          </w:tcPr>
          <w:p w:rsidR="00000000" w:rsidRDefault="00820CD7">
            <w:pPr>
              <w:rPr>
                <w:rFonts w:cs="David"/>
                <w:sz w:val="26"/>
                <w:szCs w:val="26"/>
              </w:rPr>
            </w:pPr>
            <w:r>
              <w:rPr>
                <w:rFonts w:cs="David"/>
                <w:sz w:val="26"/>
                <w:szCs w:val="26"/>
                <w:rtl/>
              </w:rPr>
              <w:t xml:space="preserve">תיקון סעיף 9 </w:t>
            </w:r>
          </w:p>
        </w:tc>
        <w:tc>
          <w:tcPr>
            <w:tcW w:w="567" w:type="dxa"/>
            <w:tcBorders>
              <w:top w:val="nil"/>
              <w:left w:val="nil"/>
              <w:bottom w:val="nil"/>
              <w:right w:val="nil"/>
            </w:tcBorders>
          </w:tcPr>
          <w:p w:rsidR="00000000" w:rsidRDefault="00820CD7">
            <w:pPr>
              <w:spacing w:line="360" w:lineRule="auto"/>
              <w:rPr>
                <w:rFonts w:cs="David"/>
                <w:sz w:val="26"/>
                <w:szCs w:val="26"/>
              </w:rPr>
            </w:pPr>
            <w:r>
              <w:rPr>
                <w:rFonts w:cs="David"/>
                <w:sz w:val="26"/>
                <w:szCs w:val="26"/>
                <w:rtl/>
              </w:rPr>
              <w:t>1.</w:t>
            </w:r>
          </w:p>
        </w:tc>
        <w:tc>
          <w:tcPr>
            <w:tcW w:w="6836" w:type="dxa"/>
            <w:gridSpan w:val="3"/>
            <w:tcBorders>
              <w:top w:val="nil"/>
              <w:left w:val="nil"/>
              <w:bottom w:val="nil"/>
              <w:right w:val="nil"/>
            </w:tcBorders>
          </w:tcPr>
          <w:p w:rsidR="00000000" w:rsidRDefault="00820CD7">
            <w:pPr>
              <w:spacing w:line="360" w:lineRule="auto"/>
              <w:jc w:val="both"/>
              <w:rPr>
                <w:rFonts w:cs="David"/>
                <w:sz w:val="26"/>
                <w:szCs w:val="26"/>
              </w:rPr>
            </w:pPr>
            <w:r>
              <w:rPr>
                <w:rFonts w:cs="David"/>
                <w:sz w:val="26"/>
                <w:szCs w:val="26"/>
                <w:rtl/>
              </w:rPr>
              <w:t>בפקודת בריאות העם, 1940</w:t>
            </w:r>
            <w:r>
              <w:rPr>
                <w:rStyle w:val="aa"/>
                <w:rFonts w:cs="David"/>
                <w:sz w:val="26"/>
                <w:szCs w:val="26"/>
              </w:rPr>
              <w:footnoteReference w:id="1"/>
            </w:r>
            <w:r>
              <w:rPr>
                <w:rFonts w:cs="David"/>
                <w:sz w:val="26"/>
                <w:szCs w:val="26"/>
                <w:rtl/>
              </w:rPr>
              <w:t xml:space="preserve">, בסעיף 9 - </w:t>
            </w:r>
          </w:p>
        </w:tc>
      </w:tr>
      <w:tr w:rsidR="00000000">
        <w:trPr>
          <w:cantSplit/>
        </w:trPr>
        <w:tc>
          <w:tcPr>
            <w:tcW w:w="1191" w:type="dxa"/>
            <w:tcBorders>
              <w:top w:val="nil"/>
              <w:left w:val="nil"/>
              <w:bottom w:val="nil"/>
              <w:right w:val="nil"/>
            </w:tcBorders>
          </w:tcPr>
          <w:p w:rsidR="00000000" w:rsidRDefault="00820CD7">
            <w:pPr>
              <w:rPr>
                <w:rFonts w:cs="David"/>
                <w:sz w:val="26"/>
                <w:szCs w:val="26"/>
              </w:rPr>
            </w:pPr>
          </w:p>
        </w:tc>
        <w:tc>
          <w:tcPr>
            <w:tcW w:w="567" w:type="dxa"/>
            <w:tcBorders>
              <w:top w:val="nil"/>
              <w:left w:val="nil"/>
              <w:bottom w:val="nil"/>
              <w:right w:val="nil"/>
            </w:tcBorders>
          </w:tcPr>
          <w:p w:rsidR="00000000" w:rsidRDefault="00820CD7">
            <w:pPr>
              <w:spacing w:line="360" w:lineRule="auto"/>
              <w:rPr>
                <w:rFonts w:cs="David"/>
                <w:sz w:val="26"/>
                <w:szCs w:val="26"/>
              </w:rPr>
            </w:pPr>
          </w:p>
        </w:tc>
        <w:tc>
          <w:tcPr>
            <w:tcW w:w="567" w:type="dxa"/>
            <w:tcBorders>
              <w:top w:val="nil"/>
              <w:left w:val="nil"/>
              <w:bottom w:val="nil"/>
              <w:right w:val="nil"/>
            </w:tcBorders>
          </w:tcPr>
          <w:p w:rsidR="00000000" w:rsidRDefault="00820CD7">
            <w:pPr>
              <w:spacing w:line="360" w:lineRule="auto"/>
              <w:rPr>
                <w:rFonts w:cs="David"/>
                <w:sz w:val="26"/>
                <w:szCs w:val="26"/>
              </w:rPr>
            </w:pPr>
            <w:r>
              <w:rPr>
                <w:rFonts w:cs="David"/>
                <w:sz w:val="26"/>
                <w:szCs w:val="26"/>
                <w:rtl/>
              </w:rPr>
              <w:t>(א)</w:t>
            </w:r>
          </w:p>
        </w:tc>
        <w:tc>
          <w:tcPr>
            <w:tcW w:w="6269" w:type="dxa"/>
            <w:gridSpan w:val="2"/>
            <w:tcBorders>
              <w:top w:val="nil"/>
              <w:left w:val="nil"/>
              <w:bottom w:val="nil"/>
              <w:right w:val="nil"/>
            </w:tcBorders>
          </w:tcPr>
          <w:p w:rsidR="00000000" w:rsidRDefault="00820CD7">
            <w:pPr>
              <w:spacing w:line="360" w:lineRule="auto"/>
              <w:jc w:val="both"/>
              <w:rPr>
                <w:rFonts w:cs="David"/>
                <w:sz w:val="26"/>
                <w:szCs w:val="26"/>
              </w:rPr>
            </w:pPr>
            <w:r>
              <w:rPr>
                <w:rFonts w:cs="David"/>
                <w:sz w:val="26"/>
                <w:szCs w:val="26"/>
                <w:rtl/>
              </w:rPr>
              <w:t>בסעיף קטן (ז), המילים "הוצאתן מקברותיהן, וקבורתן מחדש" -  יימחקו.</w:t>
            </w:r>
          </w:p>
        </w:tc>
      </w:tr>
      <w:tr w:rsidR="00000000">
        <w:trPr>
          <w:cantSplit/>
        </w:trPr>
        <w:tc>
          <w:tcPr>
            <w:tcW w:w="1191" w:type="dxa"/>
            <w:tcBorders>
              <w:top w:val="nil"/>
              <w:left w:val="nil"/>
              <w:bottom w:val="nil"/>
              <w:right w:val="nil"/>
            </w:tcBorders>
          </w:tcPr>
          <w:p w:rsidR="00000000" w:rsidRDefault="00820CD7">
            <w:pPr>
              <w:rPr>
                <w:rFonts w:cs="David"/>
                <w:sz w:val="26"/>
                <w:szCs w:val="26"/>
              </w:rPr>
            </w:pPr>
          </w:p>
        </w:tc>
        <w:tc>
          <w:tcPr>
            <w:tcW w:w="567" w:type="dxa"/>
            <w:tcBorders>
              <w:top w:val="nil"/>
              <w:left w:val="nil"/>
              <w:bottom w:val="nil"/>
              <w:right w:val="nil"/>
            </w:tcBorders>
          </w:tcPr>
          <w:p w:rsidR="00000000" w:rsidRDefault="00820CD7">
            <w:pPr>
              <w:spacing w:line="360" w:lineRule="auto"/>
              <w:rPr>
                <w:rFonts w:cs="David"/>
                <w:sz w:val="26"/>
                <w:szCs w:val="26"/>
              </w:rPr>
            </w:pPr>
          </w:p>
        </w:tc>
        <w:tc>
          <w:tcPr>
            <w:tcW w:w="567" w:type="dxa"/>
            <w:tcBorders>
              <w:top w:val="nil"/>
              <w:left w:val="nil"/>
              <w:bottom w:val="nil"/>
              <w:right w:val="nil"/>
            </w:tcBorders>
          </w:tcPr>
          <w:p w:rsidR="00000000" w:rsidRDefault="00820CD7">
            <w:pPr>
              <w:spacing w:line="360" w:lineRule="auto"/>
              <w:rPr>
                <w:rFonts w:cs="David"/>
                <w:sz w:val="26"/>
                <w:szCs w:val="26"/>
              </w:rPr>
            </w:pPr>
            <w:r>
              <w:rPr>
                <w:rFonts w:cs="David"/>
                <w:sz w:val="26"/>
                <w:szCs w:val="26"/>
                <w:rtl/>
              </w:rPr>
              <w:t>(ב)</w:t>
            </w:r>
          </w:p>
        </w:tc>
        <w:tc>
          <w:tcPr>
            <w:tcW w:w="6269" w:type="dxa"/>
            <w:gridSpan w:val="2"/>
            <w:tcBorders>
              <w:top w:val="nil"/>
              <w:left w:val="nil"/>
              <w:bottom w:val="nil"/>
              <w:right w:val="nil"/>
            </w:tcBorders>
          </w:tcPr>
          <w:p w:rsidR="00000000" w:rsidRDefault="00820CD7">
            <w:pPr>
              <w:spacing w:line="360" w:lineRule="auto"/>
              <w:jc w:val="both"/>
              <w:rPr>
                <w:rFonts w:cs="David"/>
                <w:sz w:val="26"/>
                <w:szCs w:val="26"/>
              </w:rPr>
            </w:pPr>
            <w:r>
              <w:rPr>
                <w:rFonts w:cs="David"/>
                <w:sz w:val="26"/>
                <w:szCs w:val="26"/>
                <w:rtl/>
              </w:rPr>
              <w:t>אחרי סעיף קטן (ז) יבוא:</w:t>
            </w:r>
          </w:p>
        </w:tc>
      </w:tr>
      <w:tr w:rsidR="00000000">
        <w:trPr>
          <w:cantSplit/>
        </w:trPr>
        <w:tc>
          <w:tcPr>
            <w:tcW w:w="1191" w:type="dxa"/>
            <w:tcBorders>
              <w:top w:val="nil"/>
              <w:left w:val="nil"/>
              <w:bottom w:val="nil"/>
              <w:right w:val="nil"/>
            </w:tcBorders>
          </w:tcPr>
          <w:p w:rsidR="00000000" w:rsidRDefault="00820CD7">
            <w:pPr>
              <w:rPr>
                <w:rFonts w:cs="David"/>
                <w:sz w:val="26"/>
                <w:szCs w:val="26"/>
              </w:rPr>
            </w:pPr>
          </w:p>
        </w:tc>
        <w:tc>
          <w:tcPr>
            <w:tcW w:w="567" w:type="dxa"/>
            <w:tcBorders>
              <w:top w:val="nil"/>
              <w:left w:val="nil"/>
              <w:bottom w:val="nil"/>
              <w:right w:val="nil"/>
            </w:tcBorders>
          </w:tcPr>
          <w:p w:rsidR="00000000" w:rsidRDefault="00820CD7">
            <w:pPr>
              <w:spacing w:line="360" w:lineRule="auto"/>
              <w:rPr>
                <w:rFonts w:cs="David"/>
                <w:sz w:val="26"/>
                <w:szCs w:val="26"/>
              </w:rPr>
            </w:pPr>
          </w:p>
        </w:tc>
        <w:tc>
          <w:tcPr>
            <w:tcW w:w="567" w:type="dxa"/>
            <w:tcBorders>
              <w:top w:val="nil"/>
              <w:left w:val="nil"/>
              <w:bottom w:val="nil"/>
              <w:right w:val="nil"/>
            </w:tcBorders>
          </w:tcPr>
          <w:p w:rsidR="00000000" w:rsidRDefault="00820CD7">
            <w:pPr>
              <w:spacing w:line="360" w:lineRule="auto"/>
              <w:rPr>
                <w:rFonts w:cs="David"/>
                <w:sz w:val="26"/>
                <w:szCs w:val="26"/>
              </w:rPr>
            </w:pPr>
          </w:p>
        </w:tc>
        <w:tc>
          <w:tcPr>
            <w:tcW w:w="689" w:type="dxa"/>
            <w:tcBorders>
              <w:top w:val="nil"/>
              <w:left w:val="nil"/>
              <w:bottom w:val="nil"/>
              <w:right w:val="nil"/>
            </w:tcBorders>
          </w:tcPr>
          <w:p w:rsidR="00000000" w:rsidRDefault="00820CD7">
            <w:pPr>
              <w:spacing w:line="360" w:lineRule="auto"/>
              <w:rPr>
                <w:rFonts w:cs="David"/>
                <w:sz w:val="26"/>
                <w:szCs w:val="26"/>
              </w:rPr>
            </w:pPr>
            <w:r>
              <w:rPr>
                <w:rFonts w:cs="David"/>
                <w:sz w:val="26"/>
                <w:szCs w:val="26"/>
                <w:rtl/>
              </w:rPr>
              <w:t>"(ז1)</w:t>
            </w:r>
          </w:p>
        </w:tc>
        <w:tc>
          <w:tcPr>
            <w:tcW w:w="5580" w:type="dxa"/>
            <w:tcBorders>
              <w:top w:val="nil"/>
              <w:left w:val="nil"/>
              <w:bottom w:val="nil"/>
              <w:right w:val="nil"/>
            </w:tcBorders>
          </w:tcPr>
          <w:p w:rsidR="00000000" w:rsidRDefault="00820CD7">
            <w:pPr>
              <w:spacing w:line="360" w:lineRule="auto"/>
              <w:jc w:val="both"/>
              <w:rPr>
                <w:rFonts w:cs="David"/>
                <w:sz w:val="26"/>
                <w:szCs w:val="26"/>
              </w:rPr>
            </w:pPr>
            <w:r>
              <w:rPr>
                <w:rFonts w:cs="David"/>
                <w:sz w:val="26"/>
                <w:szCs w:val="26"/>
                <w:rtl/>
              </w:rPr>
              <w:t>"הוצאתן של גופות מקברותיהן וקבורתן מחדש; בתקנות כאמור תיקבע החובה לקבל את הסכמתם של קרובי המנוח הוצאת הגופה מקברה, בדרך דומה לזו הקבועה בסעיף 6</w:t>
            </w:r>
            <w:r>
              <w:rPr>
                <w:rFonts w:cs="David"/>
                <w:sz w:val="26"/>
                <w:szCs w:val="26"/>
                <w:rtl/>
              </w:rPr>
              <w:t>א לחוק האנטומיה והפתולוגיה, התשי"ג-1953</w:t>
            </w:r>
            <w:r>
              <w:rPr>
                <w:rStyle w:val="aa"/>
                <w:rFonts w:cs="David"/>
                <w:sz w:val="26"/>
                <w:szCs w:val="26"/>
              </w:rPr>
              <w:footnoteReference w:id="2"/>
            </w:r>
            <w:r>
              <w:rPr>
                <w:rFonts w:cs="David"/>
                <w:sz w:val="26"/>
                <w:szCs w:val="26"/>
                <w:rtl/>
              </w:rPr>
              <w:t>; כן תיקבע זכות המבקש להוציא את הגופה מקברה לערער לפני בית המשפט המחוזי בהעדר הסכמה מאת קרוב של המנוח להוציא את הגופה מקברה; הוראות אלה לא יחולו לענין הוצאת גופה מקברה מכוח חוק חקירת סיבות מו</w:t>
            </w:r>
            <w:r>
              <w:rPr>
                <w:rFonts w:cs="David"/>
                <w:sz w:val="26"/>
                <w:szCs w:val="26"/>
                <w:rtl/>
              </w:rPr>
              <w:t>ות,  התשי"ח-1958</w:t>
            </w:r>
            <w:r>
              <w:rPr>
                <w:rStyle w:val="aa"/>
                <w:rFonts w:cs="David"/>
                <w:sz w:val="26"/>
                <w:szCs w:val="26"/>
              </w:rPr>
              <w:footnoteReference w:id="3"/>
            </w:r>
            <w:r>
              <w:rPr>
                <w:rFonts w:cs="David"/>
                <w:sz w:val="26"/>
                <w:szCs w:val="26"/>
                <w:rtl/>
              </w:rPr>
              <w:t>."</w:t>
            </w:r>
          </w:p>
        </w:tc>
      </w:tr>
    </w:tbl>
    <w:p w:rsidR="00000000" w:rsidRDefault="00820CD7">
      <w:pPr>
        <w:spacing w:line="360" w:lineRule="auto"/>
        <w:jc w:val="both"/>
        <w:rPr>
          <w:rFonts w:cs="David"/>
          <w:sz w:val="26"/>
          <w:szCs w:val="26"/>
          <w:rtl/>
        </w:rPr>
      </w:pPr>
    </w:p>
    <w:p w:rsidR="00000000" w:rsidRDefault="00820CD7">
      <w:pPr>
        <w:spacing w:line="360" w:lineRule="auto"/>
        <w:jc w:val="center"/>
        <w:rPr>
          <w:rFonts w:cs="David"/>
          <w:b/>
          <w:bCs/>
          <w:sz w:val="28"/>
          <w:szCs w:val="28"/>
          <w:u w:val="single"/>
          <w:rtl/>
        </w:rPr>
      </w:pPr>
      <w:r>
        <w:rPr>
          <w:rFonts w:cs="David"/>
          <w:b/>
          <w:bCs/>
          <w:sz w:val="28"/>
          <w:szCs w:val="28"/>
          <w:u w:val="single"/>
          <w:rtl/>
        </w:rPr>
        <w:t>דברי – הסבר</w:t>
      </w:r>
    </w:p>
    <w:p w:rsidR="00000000" w:rsidRDefault="00820CD7">
      <w:pPr>
        <w:spacing w:line="360" w:lineRule="auto"/>
        <w:jc w:val="both"/>
        <w:rPr>
          <w:rFonts w:cs="David"/>
          <w:sz w:val="26"/>
          <w:szCs w:val="26"/>
          <w:rtl/>
        </w:rPr>
      </w:pPr>
    </w:p>
    <w:p w:rsidR="00000000" w:rsidRDefault="00820CD7">
      <w:pPr>
        <w:spacing w:line="360" w:lineRule="auto"/>
        <w:jc w:val="both"/>
        <w:rPr>
          <w:rFonts w:cs="David"/>
          <w:sz w:val="26"/>
          <w:szCs w:val="26"/>
          <w:rtl/>
        </w:rPr>
      </w:pPr>
      <w:r>
        <w:rPr>
          <w:rFonts w:cs="David"/>
          <w:sz w:val="26"/>
          <w:szCs w:val="26"/>
          <w:rtl/>
        </w:rPr>
        <w:t>הוצאת גופה מקברה היא נושא רגיש עבור משפחת המת ויש לעשותו באופן ראוי ומתחשב. המצב הקיים היום נמשך עוד מתקופת המנדט ואינו מחייב התערבות של בני המשפחה ואף לא יידוע,במקרה ומשרד הבריאות מצא שיש צורך בהו</w:t>
      </w:r>
      <w:r>
        <w:rPr>
          <w:rFonts w:cs="David"/>
          <w:sz w:val="26"/>
          <w:szCs w:val="26"/>
          <w:rtl/>
        </w:rPr>
        <w:t>צאת הגופה מקברה.</w:t>
      </w:r>
    </w:p>
    <w:p w:rsidR="00000000" w:rsidRDefault="00820CD7">
      <w:pPr>
        <w:spacing w:line="360" w:lineRule="auto"/>
        <w:jc w:val="both"/>
        <w:rPr>
          <w:rFonts w:cs="David"/>
          <w:sz w:val="26"/>
          <w:szCs w:val="26"/>
          <w:rtl/>
        </w:rPr>
      </w:pPr>
      <w:r>
        <w:rPr>
          <w:rFonts w:cs="David"/>
          <w:sz w:val="26"/>
          <w:szCs w:val="26"/>
          <w:rtl/>
        </w:rPr>
        <w:t xml:space="preserve">הצעת חוק זו באה לשנות את המצב הקיים. משרד הבריאות יהיה חייב ליידע את המשפחה על ההחלטה ואף ניתנת למשפחה  האפשרות לערעור על-כך בפני בית-משפט.  </w:t>
      </w:r>
    </w:p>
    <w:p w:rsidR="00000000" w:rsidRDefault="00820CD7">
      <w:pPr>
        <w:spacing w:line="360" w:lineRule="auto"/>
        <w:jc w:val="both"/>
        <w:rPr>
          <w:rFonts w:cs="David"/>
          <w:sz w:val="26"/>
          <w:szCs w:val="26"/>
          <w:rtl/>
        </w:rPr>
      </w:pPr>
      <w:r>
        <w:rPr>
          <w:rFonts w:cs="David"/>
          <w:sz w:val="26"/>
          <w:szCs w:val="26"/>
          <w:rtl/>
        </w:rPr>
        <w:t xml:space="preserve">הצעת חוק זהה הונחה על שולחן הכנסת השש-עשרה על-ידי חבר הכנסת ניסן סלומינסקי (פ/3428). </w:t>
      </w:r>
    </w:p>
    <w:p w:rsidR="00000000" w:rsidRDefault="00820CD7">
      <w:pPr>
        <w:pStyle w:val="a3"/>
        <w:jc w:val="left"/>
        <w:rPr>
          <w:rFonts w:cs="David"/>
          <w:b w:val="0"/>
          <w:bCs w:val="0"/>
          <w:sz w:val="26"/>
          <w:szCs w:val="26"/>
          <w:u w:val="none"/>
          <w:rtl/>
        </w:rPr>
      </w:pPr>
      <w:r>
        <w:rPr>
          <w:rFonts w:cs="David"/>
          <w:b w:val="0"/>
          <w:bCs w:val="0"/>
          <w:sz w:val="26"/>
          <w:szCs w:val="26"/>
          <w:u w:val="none"/>
          <w:rtl/>
        </w:rPr>
        <w:t>---------------------------------</w:t>
      </w:r>
    </w:p>
    <w:p w:rsidR="00000000" w:rsidRDefault="00820CD7">
      <w:pPr>
        <w:pStyle w:val="a3"/>
        <w:jc w:val="left"/>
        <w:rPr>
          <w:rFonts w:cs="David"/>
          <w:b w:val="0"/>
          <w:bCs w:val="0"/>
          <w:sz w:val="26"/>
          <w:szCs w:val="26"/>
          <w:u w:val="none"/>
          <w:rtl/>
        </w:rPr>
      </w:pPr>
      <w:r>
        <w:rPr>
          <w:rFonts w:cs="David"/>
          <w:b w:val="0"/>
          <w:bCs w:val="0"/>
          <w:sz w:val="26"/>
          <w:szCs w:val="26"/>
          <w:u w:val="none"/>
          <w:rtl/>
        </w:rPr>
        <w:t>הוגשה ליו"ר הכנסת והסגנים</w:t>
      </w:r>
    </w:p>
    <w:p w:rsidR="00000000" w:rsidRDefault="00820CD7">
      <w:pPr>
        <w:pStyle w:val="a3"/>
        <w:jc w:val="left"/>
        <w:rPr>
          <w:rFonts w:cs="David"/>
          <w:b w:val="0"/>
          <w:bCs w:val="0"/>
          <w:sz w:val="26"/>
          <w:szCs w:val="26"/>
          <w:u w:val="none"/>
          <w:rtl/>
        </w:rPr>
      </w:pPr>
      <w:r>
        <w:rPr>
          <w:rFonts w:cs="David"/>
          <w:b w:val="0"/>
          <w:bCs w:val="0"/>
          <w:sz w:val="26"/>
          <w:szCs w:val="26"/>
          <w:u w:val="none"/>
          <w:rtl/>
        </w:rPr>
        <w:t>והונחה על שולחן הכנסת ביום</w:t>
      </w:r>
    </w:p>
    <w:p w:rsidR="00000000" w:rsidRDefault="00820CD7">
      <w:pPr>
        <w:pStyle w:val="a3"/>
        <w:spacing w:line="360" w:lineRule="auto"/>
        <w:jc w:val="left"/>
        <w:rPr>
          <w:rFonts w:cs="David"/>
          <w:b w:val="0"/>
          <w:bCs w:val="0"/>
          <w:sz w:val="26"/>
          <w:szCs w:val="26"/>
          <w:u w:val="none"/>
          <w:rtl/>
        </w:rPr>
      </w:pPr>
      <w:r>
        <w:rPr>
          <w:rFonts w:cs="David"/>
          <w:b w:val="0"/>
          <w:bCs w:val="0"/>
          <w:sz w:val="26"/>
          <w:szCs w:val="26"/>
          <w:u w:val="none"/>
          <w:rtl/>
        </w:rPr>
        <w:t>כ"ג בתמוז התשס"ו – 19.7.06</w:t>
      </w:r>
    </w:p>
    <w:p w:rsidR="00000000" w:rsidRDefault="00820CD7">
      <w:pPr>
        <w:pStyle w:val="a3"/>
        <w:spacing w:line="360" w:lineRule="auto"/>
        <w:jc w:val="left"/>
        <w:rPr>
          <w:rFonts w:cs="David"/>
          <w:u w:val="none"/>
        </w:rPr>
      </w:pPr>
    </w:p>
    <w:sectPr w:rsidR="00000000">
      <w:headerReference w:type="default" r:id="rId6"/>
      <w:pgSz w:w="11906" w:h="16838"/>
      <w:pgMar w:top="1258"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20CD7">
      <w:r>
        <w:separator/>
      </w:r>
    </w:p>
  </w:endnote>
  <w:endnote w:type="continuationSeparator" w:id="0">
    <w:p w:rsidR="00000000" w:rsidRDefault="00820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20CD7">
      <w:r>
        <w:separator/>
      </w:r>
    </w:p>
  </w:footnote>
  <w:footnote w:type="continuationSeparator" w:id="0">
    <w:p w:rsidR="00000000" w:rsidRDefault="00820CD7">
      <w:r>
        <w:continuationSeparator/>
      </w:r>
    </w:p>
  </w:footnote>
  <w:footnote w:id="1">
    <w:p w:rsidR="00000000" w:rsidRDefault="00820CD7">
      <w:pPr>
        <w:pStyle w:val="a8"/>
      </w:pPr>
      <w:r>
        <w:rPr>
          <w:rStyle w:val="aa"/>
          <w:rFonts w:cs="David"/>
        </w:rPr>
        <w:footnoteRef/>
      </w:r>
      <w:r>
        <w:rPr>
          <w:rFonts w:cs="David"/>
        </w:rPr>
        <w:t xml:space="preserve"> </w:t>
      </w:r>
      <w:r>
        <w:rPr>
          <w:rFonts w:cs="David"/>
          <w:rtl/>
        </w:rPr>
        <w:t xml:space="preserve"> ע"ר 1065, 1940, תוס' 1, עמ' (ע) 191 (א) 239 . </w:t>
      </w:r>
    </w:p>
  </w:footnote>
  <w:footnote w:id="2">
    <w:p w:rsidR="00000000" w:rsidRDefault="00820CD7">
      <w:pPr>
        <w:pStyle w:val="a8"/>
      </w:pPr>
      <w:r>
        <w:rPr>
          <w:rStyle w:val="aa"/>
          <w:rFonts w:cs="David"/>
        </w:rPr>
        <w:footnoteRef/>
      </w:r>
      <w:r>
        <w:rPr>
          <w:rFonts w:cs="David"/>
        </w:rPr>
        <w:t xml:space="preserve"> </w:t>
      </w:r>
      <w:r>
        <w:rPr>
          <w:rFonts w:cs="David"/>
          <w:rtl/>
        </w:rPr>
        <w:t xml:space="preserve"> ס"ח התשי"ג, עמ' 162. </w:t>
      </w:r>
    </w:p>
  </w:footnote>
  <w:footnote w:id="3">
    <w:p w:rsidR="00000000" w:rsidRDefault="00820CD7">
      <w:pPr>
        <w:pStyle w:val="a8"/>
      </w:pPr>
      <w:r>
        <w:rPr>
          <w:rStyle w:val="aa"/>
          <w:rFonts w:cs="David"/>
        </w:rPr>
        <w:footnoteRef/>
      </w:r>
      <w:r>
        <w:rPr>
          <w:rFonts w:cs="David"/>
        </w:rPr>
        <w:t xml:space="preserve"> </w:t>
      </w:r>
      <w:r>
        <w:rPr>
          <w:rFonts w:cs="David"/>
          <w:rtl/>
        </w:rPr>
        <w:t xml:space="preserve"> ס"ח התשי"ח, עמ' 54.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0CD7">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820CD7">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44116ðéñï ñìåîéñð÷é - äöòú çå÷ ìúé÷åï ô÷åãú áøéàåú äòí (æëåú òøòåø ìîùôçä ìòðéï äåöàú âåôä î÷áøä) äúùñå-2006.doc"/>
    <w:docVar w:name="StartMode" w:val="2"/>
  </w:docVars>
  <w:rsids>
    <w:rsidRoot w:val="00820CD7"/>
    <w:rsid w:val="00820C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223</Words>
  <Characters>1119</Characters>
  <Application>Microsoft Office Word</Application>
  <DocSecurity>0</DocSecurity>
  <Lines>9</Lines>
  <Paragraphs>2</Paragraphs>
  <ScaleCrop>false</ScaleCrop>
  <Company>knesset</Company>
  <LinksUpToDate>false</LinksUpToDate>
  <CharactersWithSpaces>1340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בריאות העם (זכות ערעור למשפחה בהוצאת גופה מקברה), התשס"ו-2006</dc:title>
  <dc:subject/>
  <dc:creator>Knesset</dc:creator>
  <cp:keywords/>
  <dc:description/>
  <cp:lastModifiedBy>שמואל כוכב</cp:lastModifiedBy>
  <cp:revision>2</cp:revision>
  <cp:lastPrinted>2006-07-18T07:50:00Z</cp:lastPrinted>
  <dcterms:created xsi:type="dcterms:W3CDTF">2015-02-03T16:53:00Z</dcterms:created>
  <dcterms:modified xsi:type="dcterms:W3CDTF">2015-02-03T16:53:00Z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ניסן סלומינסקי</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04018906</vt:lpwstr>
  </property>
  <property fmtid="{D5CDD505-2E9C-101B-9397-08002B2CF9AE}" pid="10" name="מספר הצעת חוק למיון">
    <vt:lpwstr>1429</vt:lpwstr>
  </property>
  <property fmtid="{D5CDD505-2E9C-101B-9397-08002B2CF9AE}" pid="11" name="SDDocDate">
    <vt:lpwstr>2006-07-18T00:00:00Z</vt:lpwstr>
  </property>
  <property fmtid="{D5CDD505-2E9C-101B-9397-08002B2CF9AE}" pid="12" name="SDHebDate">
    <vt:lpwstr>כ"ב בתמוז,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כוכי שבתאי</vt:lpwstr>
  </property>
  <property fmtid="{D5CDD505-2E9C-101B-9397-08002B2CF9AE}" pid="17" name="MechaberMismach">
    <vt:lpwstr/>
  </property>
  <property fmtid="{D5CDD505-2E9C-101B-9397-08002B2CF9AE}" pid="18" name="MisHatzaatChok">
    <vt:lpwstr>פ/1429/17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