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0653B">
      <w:pPr>
        <w:pStyle w:val="a9"/>
        <w:jc w:val="right"/>
        <w:rPr>
          <w:rFonts w:cs="David"/>
          <w:rtl/>
        </w:rPr>
      </w:pPr>
      <w:bookmarkStart w:id="0" w:name="_GoBack"/>
      <w:bookmarkEnd w:id="0"/>
      <w:r>
        <w:rPr>
          <w:rFonts w:cs="David"/>
          <w:b w:val="0"/>
          <w:bCs w:val="0"/>
          <w:sz w:val="24"/>
          <w:szCs w:val="24"/>
          <w:u w:val="none"/>
          <w:rtl/>
        </w:rPr>
        <w:t>שרותי משרד/הצעות חוק/</w:t>
      </w:r>
      <w:r>
        <w:rPr>
          <w:rFonts w:cs="David"/>
          <w:b w:val="0"/>
          <w:bCs w:val="0"/>
          <w:sz w:val="24"/>
          <w:szCs w:val="24"/>
          <w:u w:val="none"/>
        </w:rPr>
        <w:t xml:space="preserve"> </w:t>
      </w:r>
      <w:bookmarkStart w:id="1" w:name="סימוכין"/>
      <w:r>
        <w:rPr>
          <w:rFonts w:cs="David"/>
          <w:b w:val="0"/>
          <w:bCs w:val="0"/>
          <w:sz w:val="24"/>
          <w:szCs w:val="24"/>
          <w:u w:val="none"/>
        </w:rPr>
        <w:fldChar w:fldCharType="begin">
          <w:ffData>
            <w:name w:val="סימוכין"/>
            <w:enabled/>
            <w:calcOnExit w:val="0"/>
            <w:textInput/>
          </w:ffData>
        </w:fldChar>
      </w:r>
      <w:r>
        <w:rPr>
          <w:rFonts w:cs="David"/>
          <w:b w:val="0"/>
          <w:bCs w:val="0"/>
          <w:sz w:val="24"/>
          <w:szCs w:val="24"/>
          <w:u w:val="none"/>
        </w:rPr>
        <w:instrText xml:space="preserve"> FORMTEXT </w:instrText>
      </w:r>
      <w:r>
        <w:rPr>
          <w:rFonts w:cs="David"/>
          <w:b w:val="0"/>
          <w:bCs w:val="0"/>
          <w:sz w:val="24"/>
          <w:szCs w:val="24"/>
          <w:u w:val="none"/>
        </w:rPr>
      </w:r>
      <w:r>
        <w:rPr>
          <w:rFonts w:cs="David"/>
          <w:b w:val="0"/>
          <w:bCs w:val="0"/>
          <w:sz w:val="24"/>
          <w:szCs w:val="24"/>
          <w:u w:val="none"/>
        </w:rPr>
        <w:fldChar w:fldCharType="separate"/>
      </w:r>
      <w:r>
        <w:rPr>
          <w:rFonts w:cs="David"/>
          <w:b w:val="0"/>
          <w:bCs w:val="0"/>
          <w:sz w:val="24"/>
          <w:szCs w:val="24"/>
          <w:u w:val="none"/>
        </w:rPr>
        <w:t>9226303</w:t>
      </w:r>
      <w:r>
        <w:rPr>
          <w:rFonts w:cs="David"/>
          <w:b w:val="0"/>
          <w:bCs w:val="0"/>
          <w:sz w:val="24"/>
          <w:szCs w:val="24"/>
          <w:u w:val="none"/>
        </w:rPr>
        <w:fldChar w:fldCharType="end"/>
      </w:r>
      <w:bookmarkEnd w:id="1"/>
      <w:r>
        <w:rPr>
          <w:rFonts w:cs="David"/>
          <w:b w:val="0"/>
          <w:bCs w:val="0"/>
          <w:sz w:val="24"/>
          <w:szCs w:val="24"/>
          <w:u w:val="none"/>
          <w:rtl/>
        </w:rPr>
        <w:t>מ</w:t>
      </w:r>
    </w:p>
    <w:p w:rsidR="00000000" w:rsidRDefault="0020653B">
      <w:pPr>
        <w:pStyle w:val="a9"/>
        <w:jc w:val="left"/>
        <w:rPr>
          <w:rFonts w:cs="David"/>
          <w:b w:val="0"/>
          <w:bCs w:val="0"/>
          <w:sz w:val="24"/>
          <w:szCs w:val="24"/>
          <w:u w:val="none"/>
          <w:rtl/>
        </w:rPr>
      </w:pPr>
    </w:p>
    <w:p w:rsidR="00000000" w:rsidRDefault="0020653B">
      <w:pPr>
        <w:pStyle w:val="a9"/>
        <w:rPr>
          <w:rFonts w:cs="David"/>
          <w:b w:val="0"/>
          <w:bCs w:val="0"/>
          <w:sz w:val="26"/>
          <w:szCs w:val="26"/>
          <w:u w:val="none"/>
          <w:rtl/>
        </w:rPr>
      </w:pPr>
      <w:r>
        <w:rPr>
          <w:rFonts w:cs="David"/>
          <w:u w:val="none"/>
          <w:rtl/>
        </w:rPr>
        <w:t>הכנסת השש-עשרה</w:t>
      </w:r>
    </w:p>
    <w:p w:rsidR="00000000" w:rsidRDefault="0020653B">
      <w:pPr>
        <w:rPr>
          <w:rFonts w:cs="David"/>
          <w:sz w:val="26"/>
          <w:szCs w:val="26"/>
          <w:rtl/>
        </w:rPr>
      </w:pPr>
    </w:p>
    <w:p w:rsidR="00000000" w:rsidRDefault="0020653B">
      <w:pPr>
        <w:rPr>
          <w:rFonts w:cs="David"/>
          <w:sz w:val="26"/>
          <w:szCs w:val="26"/>
          <w:rtl/>
        </w:rPr>
      </w:pPr>
    </w:p>
    <w:tbl>
      <w:tblPr>
        <w:bidiVisual/>
        <w:tblW w:w="0" w:type="auto"/>
        <w:tblInd w:w="-331" w:type="dxa"/>
        <w:tblBorders>
          <w:bottom w:val="single" w:sz="4" w:space="0" w:color="auto"/>
        </w:tblBorders>
        <w:tblLook w:val="0000" w:firstRow="0" w:lastRow="0" w:firstColumn="0" w:lastColumn="0" w:noHBand="0" w:noVBand="0"/>
      </w:tblPr>
      <w:tblGrid>
        <w:gridCol w:w="2863"/>
        <w:gridCol w:w="2239"/>
      </w:tblGrid>
      <w:tr w:rsidR="0020653B" w:rsidTr="0020653B">
        <w:tblPrEx>
          <w:tblCellMar>
            <w:top w:w="0" w:type="dxa"/>
            <w:bottom w:w="0" w:type="dxa"/>
          </w:tblCellMar>
        </w:tblPrEx>
        <w:tc>
          <w:tcPr>
            <w:tcW w:w="2863" w:type="dxa"/>
            <w:tcBorders>
              <w:top w:val="nil"/>
              <w:left w:val="nil"/>
              <w:bottom w:val="nil"/>
              <w:right w:val="nil"/>
            </w:tcBorders>
          </w:tcPr>
          <w:p w:rsidR="0020653B" w:rsidRDefault="0020653B">
            <w:pPr>
              <w:spacing w:after="120"/>
              <w:rPr>
                <w:rFonts w:cs="David"/>
                <w:sz w:val="26"/>
                <w:szCs w:val="26"/>
              </w:rPr>
            </w:pPr>
            <w:r>
              <w:rPr>
                <w:rFonts w:cs="David"/>
                <w:sz w:val="26"/>
                <w:szCs w:val="26"/>
                <w:rtl/>
              </w:rPr>
              <w:t>הצעת חוק של חברי הכנסת:</w:t>
            </w:r>
          </w:p>
        </w:tc>
        <w:tc>
          <w:tcPr>
            <w:tcW w:w="2239" w:type="dxa"/>
            <w:tcBorders>
              <w:top w:val="nil"/>
              <w:left w:val="nil"/>
              <w:bottom w:val="nil"/>
              <w:right w:val="nil"/>
            </w:tcBorders>
          </w:tcPr>
          <w:p w:rsidR="0020653B" w:rsidRDefault="0020653B">
            <w:pPr>
              <w:spacing w:after="120"/>
              <w:rPr>
                <w:rFonts w:cs="David"/>
                <w:sz w:val="26"/>
                <w:szCs w:val="26"/>
              </w:rPr>
            </w:pPr>
            <w:r>
              <w:rPr>
                <w:rFonts w:cs="David"/>
                <w:sz w:val="26"/>
                <w:szCs w:val="26"/>
                <w:rtl/>
              </w:rPr>
              <w:t>מיכאל נודלמן</w:t>
            </w:r>
          </w:p>
        </w:tc>
      </w:tr>
      <w:tr w:rsidR="0020653B" w:rsidTr="0020653B">
        <w:tblPrEx>
          <w:tblCellMar>
            <w:top w:w="0" w:type="dxa"/>
            <w:bottom w:w="0" w:type="dxa"/>
          </w:tblCellMar>
        </w:tblPrEx>
        <w:tc>
          <w:tcPr>
            <w:tcW w:w="2863" w:type="dxa"/>
            <w:tcBorders>
              <w:top w:val="nil"/>
              <w:left w:val="nil"/>
              <w:bottom w:val="nil"/>
              <w:right w:val="nil"/>
            </w:tcBorders>
          </w:tcPr>
          <w:p w:rsidR="0020653B" w:rsidRDefault="0020653B">
            <w:pPr>
              <w:spacing w:after="120"/>
              <w:rPr>
                <w:rFonts w:cs="David"/>
                <w:sz w:val="26"/>
                <w:szCs w:val="26"/>
                <w:rtl/>
              </w:rPr>
            </w:pPr>
          </w:p>
        </w:tc>
        <w:tc>
          <w:tcPr>
            <w:tcW w:w="2239" w:type="dxa"/>
            <w:tcBorders>
              <w:top w:val="nil"/>
              <w:left w:val="nil"/>
              <w:bottom w:val="nil"/>
              <w:right w:val="nil"/>
            </w:tcBorders>
          </w:tcPr>
          <w:p w:rsidR="0020653B" w:rsidRDefault="0020653B">
            <w:pPr>
              <w:spacing w:after="120"/>
              <w:rPr>
                <w:rFonts w:cs="David"/>
                <w:sz w:val="26"/>
                <w:szCs w:val="26"/>
              </w:rPr>
            </w:pPr>
            <w:r>
              <w:rPr>
                <w:rFonts w:cs="David"/>
                <w:sz w:val="26"/>
                <w:szCs w:val="26"/>
                <w:rtl/>
              </w:rPr>
              <w:t>אריה אלדד</w:t>
            </w:r>
          </w:p>
        </w:tc>
      </w:tr>
      <w:tr w:rsidR="0020653B" w:rsidTr="0020653B">
        <w:tblPrEx>
          <w:tblCellMar>
            <w:top w:w="0" w:type="dxa"/>
            <w:bottom w:w="0" w:type="dxa"/>
          </w:tblCellMar>
        </w:tblPrEx>
        <w:tc>
          <w:tcPr>
            <w:tcW w:w="2863" w:type="dxa"/>
            <w:tcBorders>
              <w:top w:val="nil"/>
              <w:left w:val="nil"/>
              <w:bottom w:val="nil"/>
              <w:right w:val="nil"/>
            </w:tcBorders>
          </w:tcPr>
          <w:p w:rsidR="0020653B" w:rsidRDefault="0020653B">
            <w:pPr>
              <w:spacing w:after="120"/>
              <w:rPr>
                <w:rFonts w:cs="David"/>
                <w:sz w:val="26"/>
                <w:szCs w:val="26"/>
                <w:rtl/>
              </w:rPr>
            </w:pPr>
          </w:p>
        </w:tc>
        <w:tc>
          <w:tcPr>
            <w:tcW w:w="2239" w:type="dxa"/>
            <w:tcBorders>
              <w:top w:val="nil"/>
              <w:left w:val="nil"/>
              <w:bottom w:val="nil"/>
              <w:right w:val="nil"/>
            </w:tcBorders>
          </w:tcPr>
          <w:p w:rsidR="0020653B" w:rsidRDefault="0020653B">
            <w:pPr>
              <w:spacing w:after="120"/>
              <w:rPr>
                <w:rFonts w:cs="David"/>
                <w:sz w:val="26"/>
                <w:szCs w:val="26"/>
                <w:rtl/>
              </w:rPr>
            </w:pPr>
            <w:r>
              <w:rPr>
                <w:rFonts w:cs="David"/>
                <w:sz w:val="26"/>
                <w:szCs w:val="26"/>
                <w:rtl/>
              </w:rPr>
              <w:t>אורי יהודה אריאל</w:t>
            </w:r>
          </w:p>
        </w:tc>
      </w:tr>
      <w:tr w:rsidR="0020653B" w:rsidTr="0020653B">
        <w:tblPrEx>
          <w:tblCellMar>
            <w:top w:w="0" w:type="dxa"/>
            <w:bottom w:w="0" w:type="dxa"/>
          </w:tblCellMar>
        </w:tblPrEx>
        <w:tc>
          <w:tcPr>
            <w:tcW w:w="2863" w:type="dxa"/>
            <w:tcBorders>
              <w:top w:val="nil"/>
              <w:left w:val="nil"/>
              <w:bottom w:val="single" w:sz="4" w:space="0" w:color="auto"/>
              <w:right w:val="nil"/>
            </w:tcBorders>
          </w:tcPr>
          <w:p w:rsidR="0020653B" w:rsidRDefault="0020653B">
            <w:pPr>
              <w:spacing w:after="120"/>
              <w:rPr>
                <w:rFonts w:cs="David"/>
                <w:sz w:val="26"/>
                <w:szCs w:val="26"/>
                <w:rtl/>
              </w:rPr>
            </w:pPr>
          </w:p>
        </w:tc>
        <w:tc>
          <w:tcPr>
            <w:tcW w:w="2239" w:type="dxa"/>
            <w:tcBorders>
              <w:top w:val="nil"/>
              <w:left w:val="nil"/>
              <w:bottom w:val="single" w:sz="4" w:space="0" w:color="auto"/>
              <w:right w:val="nil"/>
            </w:tcBorders>
          </w:tcPr>
          <w:p w:rsidR="0020653B" w:rsidRDefault="0020653B">
            <w:pPr>
              <w:spacing w:after="120"/>
              <w:rPr>
                <w:rFonts w:cs="David"/>
                <w:sz w:val="26"/>
                <w:szCs w:val="26"/>
                <w:rtl/>
              </w:rPr>
            </w:pPr>
            <w:r>
              <w:rPr>
                <w:rFonts w:cs="David"/>
                <w:sz w:val="26"/>
                <w:szCs w:val="26"/>
                <w:rtl/>
              </w:rPr>
              <w:t>יורי שטרן</w:t>
            </w:r>
          </w:p>
        </w:tc>
      </w:tr>
    </w:tbl>
    <w:p w:rsidR="00000000" w:rsidRDefault="0020653B">
      <w:pPr>
        <w:jc w:val="center"/>
        <w:rPr>
          <w:rFonts w:cs="David"/>
          <w:sz w:val="32"/>
          <w:szCs w:val="32"/>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bookmarkStart w:id="2" w:name="MisHatzaatChok"/>
      <w:r>
        <w:rPr>
          <w:rFonts w:cs="David"/>
          <w:sz w:val="32"/>
          <w:szCs w:val="32"/>
          <w:rtl/>
        </w:rPr>
        <w:fldChar w:fldCharType="begin">
          <w:ffData>
            <w:name w:val="MisHatzaatChok"/>
            <w:enabled/>
            <w:calcOnExit w:val="0"/>
            <w:textInput/>
          </w:ffData>
        </w:fldChar>
      </w:r>
      <w:r>
        <w:rPr>
          <w:rFonts w:cs="David"/>
          <w:sz w:val="32"/>
          <w:szCs w:val="32"/>
          <w:rtl/>
        </w:rPr>
        <w:instrText xml:space="preserve"> </w:instrText>
      </w:r>
      <w:r>
        <w:rPr>
          <w:rFonts w:cs="David"/>
          <w:sz w:val="32"/>
          <w:szCs w:val="32"/>
        </w:rPr>
        <w:instrText>FORMTEXT</w:instrText>
      </w:r>
      <w:r>
        <w:rPr>
          <w:rFonts w:cs="David"/>
          <w:sz w:val="32"/>
          <w:szCs w:val="32"/>
          <w:rtl/>
        </w:rPr>
        <w:instrText xml:space="preserve"> </w:instrText>
      </w:r>
      <w:r>
        <w:rPr>
          <w:rFonts w:cs="David"/>
          <w:sz w:val="32"/>
          <w:szCs w:val="32"/>
          <w:rtl/>
        </w:rPr>
      </w:r>
      <w:r>
        <w:rPr>
          <w:rFonts w:cs="David"/>
          <w:sz w:val="32"/>
          <w:szCs w:val="32"/>
          <w:rtl/>
        </w:rPr>
        <w:fldChar w:fldCharType="separate"/>
      </w:r>
      <w:r>
        <w:rPr>
          <w:rFonts w:cs="David"/>
          <w:sz w:val="32"/>
          <w:szCs w:val="32"/>
          <w:rtl/>
        </w:rPr>
        <w:t>פ/413</w:t>
      </w:r>
      <w:r>
        <w:rPr>
          <w:rFonts w:cs="David"/>
          <w:sz w:val="32"/>
          <w:szCs w:val="32"/>
          <w:rtl/>
        </w:rPr>
        <w:fldChar w:fldCharType="end"/>
      </w:r>
      <w:bookmarkEnd w:id="2"/>
    </w:p>
    <w:p w:rsidR="00000000" w:rsidRDefault="0020653B">
      <w:pPr>
        <w:rPr>
          <w:rFonts w:cs="David"/>
          <w:sz w:val="26"/>
          <w:szCs w:val="26"/>
          <w:rtl/>
        </w:rPr>
      </w:pPr>
    </w:p>
    <w:p w:rsidR="00000000" w:rsidRDefault="0020653B">
      <w:pPr>
        <w:rPr>
          <w:rFonts w:cs="David"/>
          <w:sz w:val="26"/>
          <w:szCs w:val="26"/>
          <w:rtl/>
        </w:rPr>
      </w:pPr>
    </w:p>
    <w:bookmarkStart w:id="3" w:name="Title"/>
    <w:p w:rsidR="00000000" w:rsidRDefault="0020653B">
      <w:pPr>
        <w:jc w:val="center"/>
        <w:rPr>
          <w:rFonts w:cs="David"/>
          <w:b/>
          <w:bCs/>
          <w:sz w:val="28"/>
          <w:szCs w:val="28"/>
          <w:rtl/>
        </w:rPr>
      </w:pPr>
      <w:r>
        <w:rPr>
          <w:rFonts w:cs="David"/>
          <w:b/>
          <w:bCs/>
          <w:sz w:val="28"/>
          <w:szCs w:val="28"/>
          <w:rtl/>
        </w:rPr>
        <w:fldChar w:fldCharType="begin">
          <w:ffData>
            <w:name w:val="Title"/>
            <w:enabled/>
            <w:calcOnExit w:val="0"/>
            <w:textInput/>
          </w:ffData>
        </w:fldChar>
      </w:r>
      <w:r>
        <w:rPr>
          <w:rFonts w:cs="David"/>
          <w:b/>
          <w:bCs/>
          <w:sz w:val="28"/>
          <w:szCs w:val="28"/>
          <w:rtl/>
        </w:rPr>
        <w:instrText xml:space="preserve"> </w:instrText>
      </w:r>
      <w:r>
        <w:rPr>
          <w:rFonts w:cs="David"/>
          <w:b/>
          <w:bCs/>
          <w:sz w:val="28"/>
          <w:szCs w:val="28"/>
        </w:rPr>
        <w:instrText>FORMTEXT</w:instrText>
      </w:r>
      <w:r>
        <w:rPr>
          <w:rFonts w:cs="David"/>
          <w:b/>
          <w:bCs/>
          <w:sz w:val="28"/>
          <w:szCs w:val="28"/>
          <w:rtl/>
        </w:rPr>
        <w:instrText xml:space="preserve"> </w:instrText>
      </w:r>
      <w:r>
        <w:rPr>
          <w:rFonts w:cs="David"/>
          <w:b/>
          <w:bCs/>
          <w:sz w:val="28"/>
          <w:szCs w:val="28"/>
          <w:rtl/>
        </w:rPr>
      </w:r>
      <w:r>
        <w:rPr>
          <w:rFonts w:cs="David"/>
          <w:b/>
          <w:bCs/>
          <w:sz w:val="28"/>
          <w:szCs w:val="28"/>
          <w:rtl/>
        </w:rPr>
        <w:fldChar w:fldCharType="separate"/>
      </w:r>
      <w:r>
        <w:rPr>
          <w:rFonts w:cs="David"/>
          <w:b/>
          <w:bCs/>
          <w:sz w:val="28"/>
          <w:szCs w:val="28"/>
          <w:rtl/>
        </w:rPr>
        <w:t>הצעת חוק מיחזור שאריות צמי</w:t>
      </w:r>
      <w:r>
        <w:rPr>
          <w:rFonts w:cs="David"/>
          <w:b/>
          <w:bCs/>
          <w:sz w:val="28"/>
          <w:szCs w:val="28"/>
          <w:rtl/>
        </w:rPr>
        <w:t>גים, התשס"ג-2003</w:t>
      </w:r>
      <w:r>
        <w:rPr>
          <w:rFonts w:cs="David"/>
          <w:b/>
          <w:bCs/>
          <w:sz w:val="28"/>
          <w:szCs w:val="28"/>
          <w:rtl/>
        </w:rPr>
        <w:fldChar w:fldCharType="end"/>
      </w:r>
      <w:bookmarkEnd w:id="3"/>
    </w:p>
    <w:p w:rsidR="00000000" w:rsidRDefault="0020653B">
      <w:pPr>
        <w:rPr>
          <w:rFonts w:cs="David"/>
          <w:rtl/>
        </w:rPr>
      </w:pPr>
    </w:p>
    <w:p w:rsidR="00000000" w:rsidRDefault="0020653B">
      <w:pPr>
        <w:rPr>
          <w:rFonts w:cs="David"/>
          <w:rtl/>
        </w:rPr>
      </w:pPr>
    </w:p>
    <w:tbl>
      <w:tblPr>
        <w:bidiVisual/>
        <w:tblW w:w="0" w:type="auto"/>
        <w:jc w:val="right"/>
        <w:tblLook w:val="0000" w:firstRow="0" w:lastRow="0" w:firstColumn="0" w:lastColumn="0" w:noHBand="0" w:noVBand="0"/>
      </w:tblPr>
      <w:tblGrid>
        <w:gridCol w:w="1394"/>
        <w:gridCol w:w="900"/>
        <w:gridCol w:w="540"/>
        <w:gridCol w:w="531"/>
        <w:gridCol w:w="561"/>
        <w:gridCol w:w="4596"/>
      </w:tblGrid>
      <w:tr w:rsidR="0020653B" w:rsidTr="0020653B">
        <w:trPr>
          <w:jc w:val="right"/>
        </w:trPr>
        <w:tc>
          <w:tcPr>
            <w:tcW w:w="1394" w:type="dxa"/>
            <w:tcBorders>
              <w:top w:val="nil"/>
              <w:left w:val="nil"/>
              <w:bottom w:val="nil"/>
              <w:right w:val="nil"/>
            </w:tcBorders>
          </w:tcPr>
          <w:p w:rsidR="0020653B" w:rsidRDefault="0020653B">
            <w:pPr>
              <w:jc w:val="both"/>
              <w:rPr>
                <w:rFonts w:cs="David"/>
                <w:sz w:val="26"/>
                <w:szCs w:val="26"/>
              </w:rPr>
            </w:pPr>
            <w:r>
              <w:rPr>
                <w:rFonts w:cs="David"/>
                <w:sz w:val="26"/>
                <w:szCs w:val="26"/>
                <w:rtl/>
              </w:rPr>
              <w:t>מטרה</w:t>
            </w:r>
          </w:p>
        </w:tc>
        <w:tc>
          <w:tcPr>
            <w:tcW w:w="900" w:type="dxa"/>
            <w:tcBorders>
              <w:top w:val="nil"/>
              <w:left w:val="nil"/>
              <w:bottom w:val="nil"/>
              <w:right w:val="nil"/>
            </w:tcBorders>
          </w:tcPr>
          <w:p w:rsidR="0020653B" w:rsidRDefault="0020653B">
            <w:pPr>
              <w:jc w:val="both"/>
              <w:rPr>
                <w:rFonts w:cs="David"/>
                <w:sz w:val="26"/>
                <w:szCs w:val="26"/>
              </w:rPr>
            </w:pPr>
            <w:r>
              <w:rPr>
                <w:rFonts w:cs="David"/>
                <w:sz w:val="26"/>
                <w:szCs w:val="26"/>
                <w:rtl/>
              </w:rPr>
              <w:t>1.</w:t>
            </w:r>
          </w:p>
        </w:tc>
        <w:tc>
          <w:tcPr>
            <w:tcW w:w="6228" w:type="dxa"/>
            <w:gridSpan w:val="4"/>
            <w:tcBorders>
              <w:top w:val="nil"/>
              <w:left w:val="nil"/>
              <w:bottom w:val="nil"/>
              <w:right w:val="nil"/>
            </w:tcBorders>
          </w:tcPr>
          <w:p w:rsidR="0020653B" w:rsidRDefault="0020653B">
            <w:pPr>
              <w:jc w:val="both"/>
              <w:rPr>
                <w:rFonts w:cs="David"/>
                <w:sz w:val="26"/>
                <w:szCs w:val="26"/>
              </w:rPr>
            </w:pPr>
            <w:r>
              <w:rPr>
                <w:rFonts w:cs="David"/>
                <w:sz w:val="26"/>
                <w:szCs w:val="26"/>
                <w:rtl/>
              </w:rPr>
              <w:t>מטרת חוק זה להביא לקידום נושא מיחזור שאריות הצמיגים והגומי בישראל, ועל ידי כך להביא לשיפור באיכות הסביבה.</w:t>
            </w:r>
          </w:p>
          <w:p w:rsidR="0020653B" w:rsidRDefault="0020653B">
            <w:pPr>
              <w:jc w:val="both"/>
              <w:rPr>
                <w:rFonts w:cs="David"/>
                <w:sz w:val="26"/>
                <w:szCs w:val="26"/>
              </w:rPr>
            </w:pPr>
          </w:p>
        </w:tc>
      </w:tr>
      <w:tr w:rsidR="0020653B" w:rsidTr="0020653B">
        <w:trPr>
          <w:jc w:val="right"/>
        </w:trPr>
        <w:tc>
          <w:tcPr>
            <w:tcW w:w="1394" w:type="dxa"/>
            <w:tcBorders>
              <w:top w:val="nil"/>
              <w:left w:val="nil"/>
              <w:bottom w:val="nil"/>
              <w:right w:val="nil"/>
            </w:tcBorders>
          </w:tcPr>
          <w:p w:rsidR="0020653B" w:rsidRDefault="0020653B">
            <w:pPr>
              <w:jc w:val="both"/>
              <w:rPr>
                <w:rFonts w:cs="David"/>
                <w:sz w:val="26"/>
                <w:szCs w:val="26"/>
              </w:rPr>
            </w:pPr>
            <w:r>
              <w:rPr>
                <w:rFonts w:cs="David"/>
                <w:sz w:val="26"/>
                <w:szCs w:val="26"/>
                <w:rtl/>
              </w:rPr>
              <w:t>הגדרות</w:t>
            </w:r>
          </w:p>
        </w:tc>
        <w:tc>
          <w:tcPr>
            <w:tcW w:w="900" w:type="dxa"/>
            <w:tcBorders>
              <w:top w:val="nil"/>
              <w:left w:val="nil"/>
              <w:bottom w:val="nil"/>
              <w:right w:val="nil"/>
            </w:tcBorders>
          </w:tcPr>
          <w:p w:rsidR="0020653B" w:rsidRDefault="0020653B">
            <w:pPr>
              <w:jc w:val="both"/>
              <w:rPr>
                <w:rFonts w:cs="David"/>
                <w:sz w:val="26"/>
                <w:szCs w:val="26"/>
              </w:rPr>
            </w:pPr>
            <w:r>
              <w:rPr>
                <w:rFonts w:cs="David"/>
                <w:sz w:val="26"/>
                <w:szCs w:val="26"/>
                <w:rtl/>
              </w:rPr>
              <w:t>2.</w:t>
            </w:r>
          </w:p>
        </w:tc>
        <w:tc>
          <w:tcPr>
            <w:tcW w:w="6228" w:type="dxa"/>
            <w:gridSpan w:val="4"/>
            <w:tcBorders>
              <w:top w:val="nil"/>
              <w:left w:val="nil"/>
              <w:bottom w:val="nil"/>
              <w:right w:val="nil"/>
            </w:tcBorders>
          </w:tcPr>
          <w:p w:rsidR="0020653B" w:rsidRDefault="0020653B">
            <w:pPr>
              <w:jc w:val="both"/>
              <w:rPr>
                <w:rFonts w:cs="David"/>
                <w:sz w:val="26"/>
                <w:szCs w:val="26"/>
                <w:rtl/>
              </w:rPr>
            </w:pPr>
            <w:r>
              <w:rPr>
                <w:rFonts w:cs="David"/>
                <w:sz w:val="26"/>
                <w:szCs w:val="26"/>
                <w:rtl/>
              </w:rPr>
              <w:t xml:space="preserve">בחוק זה – </w:t>
            </w:r>
          </w:p>
          <w:p w:rsidR="0020653B" w:rsidRDefault="0020653B">
            <w:pPr>
              <w:jc w:val="both"/>
              <w:rPr>
                <w:rFonts w:cs="David"/>
                <w:sz w:val="26"/>
                <w:szCs w:val="26"/>
              </w:rPr>
            </w:pPr>
          </w:p>
          <w:p w:rsidR="0020653B" w:rsidRDefault="0020653B">
            <w:pPr>
              <w:jc w:val="both"/>
              <w:rPr>
                <w:rFonts w:cs="David"/>
                <w:sz w:val="26"/>
                <w:szCs w:val="26"/>
                <w:rtl/>
              </w:rPr>
            </w:pPr>
            <w:r>
              <w:rPr>
                <w:rFonts w:cs="David"/>
                <w:sz w:val="26"/>
                <w:szCs w:val="26"/>
                <w:rtl/>
              </w:rPr>
              <w:t>"תאגיד מיחזור" – תאגיד שהוכר על ידי השרים בהתאם להוראות סעיף 4;</w:t>
            </w:r>
          </w:p>
          <w:p w:rsidR="0020653B" w:rsidRDefault="0020653B">
            <w:pPr>
              <w:jc w:val="both"/>
              <w:rPr>
                <w:rFonts w:cs="David"/>
                <w:sz w:val="26"/>
                <w:szCs w:val="26"/>
                <w:rtl/>
              </w:rPr>
            </w:pPr>
          </w:p>
          <w:p w:rsidR="0020653B" w:rsidRDefault="0020653B">
            <w:pPr>
              <w:jc w:val="both"/>
              <w:rPr>
                <w:rFonts w:cs="David"/>
                <w:sz w:val="26"/>
                <w:szCs w:val="26"/>
                <w:rtl/>
              </w:rPr>
            </w:pPr>
            <w:r>
              <w:rPr>
                <w:rFonts w:cs="David"/>
                <w:sz w:val="26"/>
                <w:szCs w:val="26"/>
                <w:rtl/>
              </w:rPr>
              <w:t>"השרים" – השר לאיכות הסביבה ושר התעשיה והמסחר.</w:t>
            </w:r>
          </w:p>
          <w:p w:rsidR="0020653B" w:rsidRDefault="0020653B">
            <w:pPr>
              <w:jc w:val="both"/>
              <w:rPr>
                <w:rFonts w:cs="David"/>
                <w:sz w:val="26"/>
                <w:szCs w:val="26"/>
              </w:rPr>
            </w:pPr>
          </w:p>
        </w:tc>
      </w:tr>
      <w:tr w:rsidR="0020653B" w:rsidTr="0020653B">
        <w:trPr>
          <w:jc w:val="right"/>
        </w:trPr>
        <w:tc>
          <w:tcPr>
            <w:tcW w:w="1394" w:type="dxa"/>
            <w:tcBorders>
              <w:top w:val="nil"/>
              <w:left w:val="nil"/>
              <w:bottom w:val="nil"/>
              <w:right w:val="nil"/>
            </w:tcBorders>
          </w:tcPr>
          <w:p w:rsidR="0020653B" w:rsidRDefault="0020653B">
            <w:pPr>
              <w:jc w:val="both"/>
              <w:rPr>
                <w:rFonts w:cs="David"/>
                <w:sz w:val="26"/>
                <w:szCs w:val="26"/>
              </w:rPr>
            </w:pPr>
            <w:r>
              <w:rPr>
                <w:rFonts w:cs="David"/>
                <w:sz w:val="26"/>
                <w:szCs w:val="26"/>
                <w:rtl/>
              </w:rPr>
              <w:t>תשלומי יבואנים ויצרנים</w:t>
            </w:r>
          </w:p>
        </w:tc>
        <w:tc>
          <w:tcPr>
            <w:tcW w:w="900" w:type="dxa"/>
            <w:tcBorders>
              <w:top w:val="nil"/>
              <w:left w:val="nil"/>
              <w:bottom w:val="nil"/>
              <w:right w:val="nil"/>
            </w:tcBorders>
          </w:tcPr>
          <w:p w:rsidR="0020653B" w:rsidRDefault="0020653B">
            <w:pPr>
              <w:jc w:val="both"/>
              <w:rPr>
                <w:rFonts w:cs="David"/>
                <w:sz w:val="26"/>
                <w:szCs w:val="26"/>
              </w:rPr>
            </w:pPr>
            <w:r>
              <w:rPr>
                <w:rFonts w:cs="David"/>
                <w:sz w:val="26"/>
                <w:szCs w:val="26"/>
                <w:rtl/>
              </w:rPr>
              <w:t>3.</w:t>
            </w:r>
          </w:p>
        </w:tc>
        <w:tc>
          <w:tcPr>
            <w:tcW w:w="540" w:type="dxa"/>
            <w:tcBorders>
              <w:top w:val="nil"/>
              <w:left w:val="nil"/>
              <w:bottom w:val="nil"/>
              <w:right w:val="nil"/>
            </w:tcBorders>
          </w:tcPr>
          <w:p w:rsidR="0020653B" w:rsidRDefault="0020653B">
            <w:pPr>
              <w:jc w:val="both"/>
              <w:rPr>
                <w:rFonts w:cs="David"/>
                <w:sz w:val="26"/>
                <w:szCs w:val="26"/>
              </w:rPr>
            </w:pPr>
            <w:r>
              <w:rPr>
                <w:rFonts w:cs="David"/>
                <w:sz w:val="26"/>
                <w:szCs w:val="26"/>
                <w:rtl/>
              </w:rPr>
              <w:t>(א)</w:t>
            </w:r>
          </w:p>
        </w:tc>
        <w:tc>
          <w:tcPr>
            <w:tcW w:w="5688" w:type="dxa"/>
            <w:gridSpan w:val="3"/>
            <w:tcBorders>
              <w:top w:val="nil"/>
              <w:left w:val="nil"/>
              <w:bottom w:val="nil"/>
              <w:right w:val="nil"/>
            </w:tcBorders>
          </w:tcPr>
          <w:p w:rsidR="0020653B" w:rsidRDefault="0020653B">
            <w:pPr>
              <w:jc w:val="both"/>
              <w:rPr>
                <w:rFonts w:cs="David"/>
                <w:sz w:val="26"/>
                <w:szCs w:val="26"/>
                <w:rtl/>
              </w:rPr>
            </w:pPr>
            <w:r>
              <w:rPr>
                <w:rFonts w:cs="David"/>
                <w:sz w:val="26"/>
                <w:szCs w:val="26"/>
                <w:rtl/>
              </w:rPr>
              <w:t>יצרני צמיגים, יבואני צמיגים ויבואני רכב (להלן – יבואנים ויצרנים) יהיו חייבים בתשלומים לתאגיד מיחזור (בסעיף זה – תשלומי חובה).</w:t>
            </w:r>
          </w:p>
          <w:p w:rsidR="0020653B" w:rsidRDefault="0020653B">
            <w:pPr>
              <w:jc w:val="both"/>
              <w:rPr>
                <w:rFonts w:cs="David"/>
                <w:sz w:val="26"/>
                <w:szCs w:val="26"/>
              </w:rPr>
            </w:pPr>
          </w:p>
        </w:tc>
      </w:tr>
      <w:tr w:rsidR="0020653B" w:rsidTr="0020653B">
        <w:trPr>
          <w:jc w:val="right"/>
        </w:trPr>
        <w:tc>
          <w:tcPr>
            <w:tcW w:w="1394" w:type="dxa"/>
            <w:tcBorders>
              <w:top w:val="nil"/>
              <w:left w:val="nil"/>
              <w:bottom w:val="nil"/>
              <w:right w:val="nil"/>
            </w:tcBorders>
          </w:tcPr>
          <w:p w:rsidR="0020653B" w:rsidRDefault="0020653B">
            <w:pPr>
              <w:jc w:val="both"/>
              <w:rPr>
                <w:rFonts w:cs="David"/>
                <w:sz w:val="26"/>
                <w:szCs w:val="26"/>
              </w:rPr>
            </w:pPr>
          </w:p>
        </w:tc>
        <w:tc>
          <w:tcPr>
            <w:tcW w:w="900" w:type="dxa"/>
            <w:tcBorders>
              <w:top w:val="nil"/>
              <w:left w:val="nil"/>
              <w:bottom w:val="nil"/>
              <w:right w:val="nil"/>
            </w:tcBorders>
          </w:tcPr>
          <w:p w:rsidR="0020653B" w:rsidRDefault="0020653B">
            <w:pPr>
              <w:jc w:val="both"/>
              <w:rPr>
                <w:rFonts w:cs="David"/>
                <w:sz w:val="26"/>
                <w:szCs w:val="26"/>
              </w:rPr>
            </w:pPr>
          </w:p>
        </w:tc>
        <w:tc>
          <w:tcPr>
            <w:tcW w:w="540" w:type="dxa"/>
            <w:tcBorders>
              <w:top w:val="nil"/>
              <w:left w:val="nil"/>
              <w:bottom w:val="nil"/>
              <w:right w:val="nil"/>
            </w:tcBorders>
          </w:tcPr>
          <w:p w:rsidR="0020653B" w:rsidRDefault="0020653B">
            <w:pPr>
              <w:jc w:val="both"/>
              <w:rPr>
                <w:rFonts w:cs="David"/>
                <w:sz w:val="26"/>
                <w:szCs w:val="26"/>
              </w:rPr>
            </w:pPr>
            <w:r>
              <w:rPr>
                <w:rFonts w:cs="David"/>
                <w:sz w:val="26"/>
                <w:szCs w:val="26"/>
                <w:rtl/>
              </w:rPr>
              <w:t>(ב)</w:t>
            </w:r>
          </w:p>
        </w:tc>
        <w:tc>
          <w:tcPr>
            <w:tcW w:w="5688" w:type="dxa"/>
            <w:gridSpan w:val="3"/>
            <w:tcBorders>
              <w:top w:val="nil"/>
              <w:left w:val="nil"/>
              <w:bottom w:val="nil"/>
              <w:right w:val="nil"/>
            </w:tcBorders>
          </w:tcPr>
          <w:p w:rsidR="0020653B" w:rsidRDefault="0020653B">
            <w:pPr>
              <w:jc w:val="both"/>
              <w:rPr>
                <w:rFonts w:cs="David"/>
                <w:sz w:val="26"/>
                <w:szCs w:val="26"/>
                <w:rtl/>
              </w:rPr>
            </w:pPr>
            <w:r>
              <w:rPr>
                <w:rFonts w:cs="David"/>
                <w:sz w:val="26"/>
                <w:szCs w:val="26"/>
                <w:rtl/>
              </w:rPr>
              <w:t>השרים יקבעו הוראות ביחס לחובת יבואנים ויצרנים להתקשר עם תאגיד מיחזור, וכן ביחס לחובה לשלם תשלומי החובה לתאגיד מיחזור, לרבות סכומי תשלומי החובה, ובלבד שלענין התשלומים יחולו הוראות אלה:</w:t>
            </w:r>
          </w:p>
          <w:p w:rsidR="0020653B" w:rsidRDefault="0020653B">
            <w:pPr>
              <w:jc w:val="both"/>
              <w:rPr>
                <w:rFonts w:cs="David"/>
                <w:sz w:val="26"/>
                <w:szCs w:val="26"/>
              </w:rPr>
            </w:pPr>
          </w:p>
        </w:tc>
      </w:tr>
      <w:tr w:rsidR="0020653B" w:rsidTr="0020653B">
        <w:trPr>
          <w:jc w:val="right"/>
        </w:trPr>
        <w:tc>
          <w:tcPr>
            <w:tcW w:w="1394" w:type="dxa"/>
            <w:tcBorders>
              <w:top w:val="nil"/>
              <w:left w:val="nil"/>
              <w:bottom w:val="nil"/>
              <w:right w:val="nil"/>
            </w:tcBorders>
          </w:tcPr>
          <w:p w:rsidR="0020653B" w:rsidRDefault="0020653B">
            <w:pPr>
              <w:jc w:val="both"/>
              <w:rPr>
                <w:rFonts w:cs="David"/>
                <w:sz w:val="26"/>
                <w:szCs w:val="26"/>
              </w:rPr>
            </w:pPr>
          </w:p>
        </w:tc>
        <w:tc>
          <w:tcPr>
            <w:tcW w:w="900" w:type="dxa"/>
            <w:tcBorders>
              <w:top w:val="nil"/>
              <w:left w:val="nil"/>
              <w:bottom w:val="nil"/>
              <w:right w:val="nil"/>
            </w:tcBorders>
          </w:tcPr>
          <w:p w:rsidR="0020653B" w:rsidRDefault="0020653B">
            <w:pPr>
              <w:jc w:val="both"/>
              <w:rPr>
                <w:rFonts w:cs="David"/>
                <w:sz w:val="26"/>
                <w:szCs w:val="26"/>
              </w:rPr>
            </w:pPr>
          </w:p>
        </w:tc>
        <w:tc>
          <w:tcPr>
            <w:tcW w:w="540" w:type="dxa"/>
            <w:tcBorders>
              <w:top w:val="nil"/>
              <w:left w:val="nil"/>
              <w:bottom w:val="nil"/>
              <w:right w:val="nil"/>
            </w:tcBorders>
          </w:tcPr>
          <w:p w:rsidR="0020653B" w:rsidRDefault="0020653B">
            <w:pPr>
              <w:jc w:val="both"/>
              <w:rPr>
                <w:rFonts w:cs="David"/>
                <w:sz w:val="26"/>
                <w:szCs w:val="26"/>
              </w:rPr>
            </w:pPr>
          </w:p>
        </w:tc>
        <w:tc>
          <w:tcPr>
            <w:tcW w:w="531" w:type="dxa"/>
            <w:tcBorders>
              <w:top w:val="nil"/>
              <w:left w:val="nil"/>
              <w:bottom w:val="nil"/>
              <w:right w:val="nil"/>
            </w:tcBorders>
          </w:tcPr>
          <w:p w:rsidR="0020653B" w:rsidRDefault="0020653B">
            <w:pPr>
              <w:jc w:val="both"/>
              <w:rPr>
                <w:rFonts w:cs="David"/>
                <w:sz w:val="26"/>
                <w:szCs w:val="26"/>
              </w:rPr>
            </w:pPr>
            <w:r>
              <w:rPr>
                <w:rFonts w:cs="David"/>
                <w:sz w:val="26"/>
                <w:szCs w:val="26"/>
                <w:rtl/>
              </w:rPr>
              <w:t>(1)</w:t>
            </w:r>
          </w:p>
        </w:tc>
        <w:tc>
          <w:tcPr>
            <w:tcW w:w="5157" w:type="dxa"/>
            <w:gridSpan w:val="2"/>
            <w:tcBorders>
              <w:top w:val="nil"/>
              <w:left w:val="nil"/>
              <w:bottom w:val="nil"/>
              <w:right w:val="nil"/>
            </w:tcBorders>
          </w:tcPr>
          <w:p w:rsidR="0020653B" w:rsidRDefault="0020653B">
            <w:pPr>
              <w:jc w:val="both"/>
              <w:rPr>
                <w:rFonts w:cs="David"/>
                <w:sz w:val="26"/>
                <w:szCs w:val="26"/>
                <w:rtl/>
              </w:rPr>
            </w:pPr>
            <w:r>
              <w:rPr>
                <w:rFonts w:cs="David"/>
                <w:sz w:val="26"/>
                <w:szCs w:val="26"/>
                <w:rtl/>
              </w:rPr>
              <w:t>גובה התשלום שיגבה מהיבואנים ומהיצרנים יהיה בהתאם לכמות, לסוג ולמשקל הצמיגים והגומי, שאותם הם מייצרים או מייבאים, כמות הצמיגים והגומי שאותם מסרו למיחזור, ותוך התחשבות בפעולות ידידותית לסביבה שנקטו;</w:t>
            </w:r>
          </w:p>
          <w:p w:rsidR="0020653B" w:rsidRDefault="0020653B">
            <w:pPr>
              <w:jc w:val="both"/>
              <w:rPr>
                <w:rFonts w:cs="David"/>
                <w:sz w:val="26"/>
                <w:szCs w:val="26"/>
              </w:rPr>
            </w:pPr>
          </w:p>
        </w:tc>
      </w:tr>
      <w:tr w:rsidR="0020653B" w:rsidTr="0020653B">
        <w:trPr>
          <w:jc w:val="right"/>
        </w:trPr>
        <w:tc>
          <w:tcPr>
            <w:tcW w:w="1394" w:type="dxa"/>
            <w:tcBorders>
              <w:top w:val="nil"/>
              <w:left w:val="nil"/>
              <w:bottom w:val="nil"/>
              <w:right w:val="nil"/>
            </w:tcBorders>
          </w:tcPr>
          <w:p w:rsidR="0020653B" w:rsidRDefault="0020653B">
            <w:pPr>
              <w:jc w:val="both"/>
              <w:rPr>
                <w:rFonts w:cs="David"/>
                <w:sz w:val="26"/>
                <w:szCs w:val="26"/>
              </w:rPr>
            </w:pPr>
          </w:p>
        </w:tc>
        <w:tc>
          <w:tcPr>
            <w:tcW w:w="900" w:type="dxa"/>
            <w:tcBorders>
              <w:top w:val="nil"/>
              <w:left w:val="nil"/>
              <w:bottom w:val="nil"/>
              <w:right w:val="nil"/>
            </w:tcBorders>
          </w:tcPr>
          <w:p w:rsidR="0020653B" w:rsidRDefault="0020653B">
            <w:pPr>
              <w:jc w:val="both"/>
              <w:rPr>
                <w:rFonts w:cs="David"/>
                <w:sz w:val="26"/>
                <w:szCs w:val="26"/>
              </w:rPr>
            </w:pPr>
          </w:p>
        </w:tc>
        <w:tc>
          <w:tcPr>
            <w:tcW w:w="540" w:type="dxa"/>
            <w:tcBorders>
              <w:top w:val="nil"/>
              <w:left w:val="nil"/>
              <w:bottom w:val="nil"/>
              <w:right w:val="nil"/>
            </w:tcBorders>
          </w:tcPr>
          <w:p w:rsidR="0020653B" w:rsidRDefault="0020653B">
            <w:pPr>
              <w:jc w:val="both"/>
              <w:rPr>
                <w:rFonts w:cs="David"/>
                <w:sz w:val="26"/>
                <w:szCs w:val="26"/>
              </w:rPr>
            </w:pPr>
          </w:p>
        </w:tc>
        <w:tc>
          <w:tcPr>
            <w:tcW w:w="531" w:type="dxa"/>
            <w:tcBorders>
              <w:top w:val="nil"/>
              <w:left w:val="nil"/>
              <w:bottom w:val="nil"/>
              <w:right w:val="nil"/>
            </w:tcBorders>
          </w:tcPr>
          <w:p w:rsidR="0020653B" w:rsidRDefault="0020653B">
            <w:pPr>
              <w:jc w:val="both"/>
              <w:rPr>
                <w:rFonts w:cs="David"/>
                <w:sz w:val="26"/>
                <w:szCs w:val="26"/>
              </w:rPr>
            </w:pPr>
            <w:r>
              <w:rPr>
                <w:rFonts w:cs="David"/>
                <w:sz w:val="26"/>
                <w:szCs w:val="26"/>
                <w:rtl/>
              </w:rPr>
              <w:t>(2)</w:t>
            </w:r>
          </w:p>
        </w:tc>
        <w:tc>
          <w:tcPr>
            <w:tcW w:w="5157" w:type="dxa"/>
            <w:gridSpan w:val="2"/>
            <w:tcBorders>
              <w:top w:val="nil"/>
              <w:left w:val="nil"/>
              <w:bottom w:val="nil"/>
              <w:right w:val="nil"/>
            </w:tcBorders>
          </w:tcPr>
          <w:p w:rsidR="0020653B" w:rsidRDefault="0020653B">
            <w:pPr>
              <w:jc w:val="both"/>
              <w:rPr>
                <w:rFonts w:cs="David"/>
                <w:sz w:val="26"/>
                <w:szCs w:val="26"/>
              </w:rPr>
            </w:pPr>
            <w:r>
              <w:rPr>
                <w:rFonts w:cs="David"/>
                <w:sz w:val="26"/>
                <w:szCs w:val="26"/>
                <w:rtl/>
              </w:rPr>
              <w:t>גובה התשלום שישולם לתאגידי המיחזור יובאו בחשבון  בקביעת  סוג ומשקל הצמיגים והגומי אותם מיחזרו היבואנים והיצרנים.</w:t>
            </w:r>
          </w:p>
          <w:p w:rsidR="0020653B" w:rsidRDefault="0020653B">
            <w:pPr>
              <w:jc w:val="both"/>
              <w:rPr>
                <w:rFonts w:cs="David"/>
                <w:sz w:val="26"/>
                <w:szCs w:val="26"/>
              </w:rPr>
            </w:pPr>
          </w:p>
        </w:tc>
      </w:tr>
      <w:tr w:rsidR="0020653B" w:rsidTr="0020653B">
        <w:trPr>
          <w:jc w:val="right"/>
        </w:trPr>
        <w:tc>
          <w:tcPr>
            <w:tcW w:w="1394" w:type="dxa"/>
            <w:tcBorders>
              <w:top w:val="nil"/>
              <w:left w:val="nil"/>
              <w:bottom w:val="nil"/>
              <w:right w:val="nil"/>
            </w:tcBorders>
          </w:tcPr>
          <w:p w:rsidR="0020653B" w:rsidRDefault="0020653B">
            <w:pPr>
              <w:jc w:val="both"/>
              <w:rPr>
                <w:rFonts w:cs="David"/>
                <w:sz w:val="26"/>
                <w:szCs w:val="26"/>
              </w:rPr>
            </w:pPr>
            <w:r>
              <w:rPr>
                <w:rFonts w:cs="David"/>
                <w:sz w:val="26"/>
                <w:szCs w:val="26"/>
                <w:rtl/>
              </w:rPr>
              <w:t>הכרה בתאגיד מיחזור</w:t>
            </w:r>
          </w:p>
        </w:tc>
        <w:tc>
          <w:tcPr>
            <w:tcW w:w="900" w:type="dxa"/>
            <w:tcBorders>
              <w:top w:val="nil"/>
              <w:left w:val="nil"/>
              <w:bottom w:val="nil"/>
              <w:right w:val="nil"/>
            </w:tcBorders>
          </w:tcPr>
          <w:p w:rsidR="0020653B" w:rsidRDefault="0020653B">
            <w:pPr>
              <w:jc w:val="both"/>
              <w:rPr>
                <w:rFonts w:cs="David"/>
                <w:sz w:val="26"/>
                <w:szCs w:val="26"/>
              </w:rPr>
            </w:pPr>
            <w:r>
              <w:rPr>
                <w:rFonts w:cs="David"/>
                <w:sz w:val="26"/>
                <w:szCs w:val="26"/>
                <w:rtl/>
              </w:rPr>
              <w:t>4.</w:t>
            </w:r>
          </w:p>
        </w:tc>
        <w:tc>
          <w:tcPr>
            <w:tcW w:w="540" w:type="dxa"/>
            <w:tcBorders>
              <w:top w:val="nil"/>
              <w:left w:val="nil"/>
              <w:bottom w:val="nil"/>
              <w:right w:val="nil"/>
            </w:tcBorders>
          </w:tcPr>
          <w:p w:rsidR="0020653B" w:rsidRDefault="0020653B">
            <w:pPr>
              <w:jc w:val="both"/>
              <w:rPr>
                <w:rFonts w:cs="David"/>
                <w:sz w:val="26"/>
                <w:szCs w:val="26"/>
              </w:rPr>
            </w:pPr>
            <w:r>
              <w:rPr>
                <w:rFonts w:cs="David"/>
                <w:sz w:val="26"/>
                <w:szCs w:val="26"/>
                <w:rtl/>
              </w:rPr>
              <w:t>(א)</w:t>
            </w:r>
          </w:p>
        </w:tc>
        <w:tc>
          <w:tcPr>
            <w:tcW w:w="5688" w:type="dxa"/>
            <w:gridSpan w:val="3"/>
            <w:tcBorders>
              <w:top w:val="nil"/>
              <w:left w:val="nil"/>
              <w:bottom w:val="nil"/>
              <w:right w:val="nil"/>
            </w:tcBorders>
          </w:tcPr>
          <w:p w:rsidR="0020653B" w:rsidRDefault="0020653B">
            <w:pPr>
              <w:jc w:val="both"/>
              <w:rPr>
                <w:rFonts w:cs="David"/>
                <w:sz w:val="26"/>
                <w:szCs w:val="26"/>
                <w:rtl/>
              </w:rPr>
            </w:pPr>
            <w:r>
              <w:rPr>
                <w:rFonts w:cs="David"/>
                <w:sz w:val="26"/>
                <w:szCs w:val="26"/>
                <w:rtl/>
              </w:rPr>
              <w:t>השרים רשאים להכיר בתאגיד כתאגיד מיחזור אם התקיימו בו כל אלה:</w:t>
            </w:r>
          </w:p>
          <w:p w:rsidR="0020653B" w:rsidRDefault="0020653B">
            <w:pPr>
              <w:jc w:val="both"/>
              <w:rPr>
                <w:rFonts w:cs="David"/>
                <w:sz w:val="26"/>
                <w:szCs w:val="26"/>
              </w:rPr>
            </w:pPr>
          </w:p>
          <w:p w:rsidR="0020653B" w:rsidRDefault="0020653B">
            <w:pPr>
              <w:jc w:val="both"/>
              <w:rPr>
                <w:rFonts w:cs="David"/>
                <w:sz w:val="26"/>
                <w:szCs w:val="26"/>
              </w:rPr>
            </w:pPr>
          </w:p>
        </w:tc>
      </w:tr>
      <w:tr w:rsidR="0020653B" w:rsidTr="0020653B">
        <w:trPr>
          <w:jc w:val="right"/>
        </w:trPr>
        <w:tc>
          <w:tcPr>
            <w:tcW w:w="1394" w:type="dxa"/>
            <w:tcBorders>
              <w:top w:val="nil"/>
              <w:left w:val="nil"/>
              <w:bottom w:val="nil"/>
              <w:right w:val="nil"/>
            </w:tcBorders>
          </w:tcPr>
          <w:p w:rsidR="0020653B" w:rsidRDefault="0020653B">
            <w:pPr>
              <w:jc w:val="both"/>
              <w:rPr>
                <w:rFonts w:cs="David"/>
                <w:sz w:val="26"/>
                <w:szCs w:val="26"/>
              </w:rPr>
            </w:pPr>
          </w:p>
        </w:tc>
        <w:tc>
          <w:tcPr>
            <w:tcW w:w="900" w:type="dxa"/>
            <w:tcBorders>
              <w:top w:val="nil"/>
              <w:left w:val="nil"/>
              <w:bottom w:val="nil"/>
              <w:right w:val="nil"/>
            </w:tcBorders>
          </w:tcPr>
          <w:p w:rsidR="0020653B" w:rsidRDefault="0020653B">
            <w:pPr>
              <w:jc w:val="both"/>
              <w:rPr>
                <w:rFonts w:cs="David"/>
                <w:sz w:val="26"/>
                <w:szCs w:val="26"/>
              </w:rPr>
            </w:pPr>
          </w:p>
        </w:tc>
        <w:tc>
          <w:tcPr>
            <w:tcW w:w="540" w:type="dxa"/>
            <w:tcBorders>
              <w:top w:val="nil"/>
              <w:left w:val="nil"/>
              <w:bottom w:val="nil"/>
              <w:right w:val="nil"/>
            </w:tcBorders>
          </w:tcPr>
          <w:p w:rsidR="0020653B" w:rsidRDefault="0020653B">
            <w:pPr>
              <w:jc w:val="both"/>
              <w:rPr>
                <w:rFonts w:cs="David"/>
                <w:sz w:val="26"/>
                <w:szCs w:val="26"/>
              </w:rPr>
            </w:pPr>
          </w:p>
        </w:tc>
        <w:tc>
          <w:tcPr>
            <w:tcW w:w="531" w:type="dxa"/>
            <w:tcBorders>
              <w:top w:val="nil"/>
              <w:left w:val="nil"/>
              <w:bottom w:val="nil"/>
              <w:right w:val="nil"/>
            </w:tcBorders>
          </w:tcPr>
          <w:p w:rsidR="0020653B" w:rsidRDefault="0020653B">
            <w:pPr>
              <w:jc w:val="both"/>
              <w:rPr>
                <w:rFonts w:cs="David"/>
                <w:sz w:val="26"/>
                <w:szCs w:val="26"/>
              </w:rPr>
            </w:pPr>
            <w:r>
              <w:rPr>
                <w:rFonts w:cs="David"/>
                <w:sz w:val="26"/>
                <w:szCs w:val="26"/>
                <w:rtl/>
              </w:rPr>
              <w:t>(1)</w:t>
            </w:r>
          </w:p>
        </w:tc>
        <w:tc>
          <w:tcPr>
            <w:tcW w:w="5157" w:type="dxa"/>
            <w:gridSpan w:val="2"/>
            <w:tcBorders>
              <w:top w:val="nil"/>
              <w:left w:val="nil"/>
              <w:bottom w:val="nil"/>
              <w:right w:val="nil"/>
            </w:tcBorders>
          </w:tcPr>
          <w:p w:rsidR="0020653B" w:rsidRDefault="0020653B">
            <w:pPr>
              <w:jc w:val="both"/>
              <w:rPr>
                <w:rFonts w:cs="David"/>
                <w:sz w:val="26"/>
                <w:szCs w:val="26"/>
                <w:rtl/>
              </w:rPr>
            </w:pPr>
            <w:r>
              <w:rPr>
                <w:rFonts w:cs="David"/>
                <w:sz w:val="26"/>
                <w:szCs w:val="26"/>
                <w:rtl/>
              </w:rPr>
              <w:t xml:space="preserve">מטרתו היחידה של התאגיד היא הקמה והפעלה של מנגנון לשם ביצוע איסוף צמיגים ומיחזורם וביצוע </w:t>
            </w:r>
            <w:r>
              <w:rPr>
                <w:rFonts w:cs="David"/>
                <w:sz w:val="26"/>
                <w:szCs w:val="26"/>
                <w:rtl/>
              </w:rPr>
              <w:lastRenderedPageBreak/>
              <w:t>פעולות אחרות שמטרתן קידום האיסוף והמיחזור, והכל בין בעצמו ובין באמצעות אחרים;</w:t>
            </w:r>
          </w:p>
          <w:p w:rsidR="0020653B" w:rsidRDefault="0020653B">
            <w:pPr>
              <w:jc w:val="both"/>
              <w:rPr>
                <w:rFonts w:cs="David"/>
                <w:sz w:val="26"/>
                <w:szCs w:val="26"/>
              </w:rPr>
            </w:pPr>
          </w:p>
        </w:tc>
      </w:tr>
      <w:tr w:rsidR="0020653B" w:rsidTr="0020653B">
        <w:trPr>
          <w:jc w:val="right"/>
        </w:trPr>
        <w:tc>
          <w:tcPr>
            <w:tcW w:w="1394" w:type="dxa"/>
            <w:tcBorders>
              <w:top w:val="nil"/>
              <w:left w:val="nil"/>
              <w:bottom w:val="nil"/>
              <w:right w:val="nil"/>
            </w:tcBorders>
          </w:tcPr>
          <w:p w:rsidR="0020653B" w:rsidRDefault="0020653B">
            <w:pPr>
              <w:jc w:val="both"/>
              <w:rPr>
                <w:rFonts w:cs="David"/>
                <w:sz w:val="26"/>
                <w:szCs w:val="26"/>
              </w:rPr>
            </w:pPr>
          </w:p>
        </w:tc>
        <w:tc>
          <w:tcPr>
            <w:tcW w:w="900" w:type="dxa"/>
            <w:tcBorders>
              <w:top w:val="nil"/>
              <w:left w:val="nil"/>
              <w:bottom w:val="nil"/>
              <w:right w:val="nil"/>
            </w:tcBorders>
          </w:tcPr>
          <w:p w:rsidR="0020653B" w:rsidRDefault="0020653B">
            <w:pPr>
              <w:jc w:val="both"/>
              <w:rPr>
                <w:rFonts w:cs="David"/>
                <w:sz w:val="26"/>
                <w:szCs w:val="26"/>
              </w:rPr>
            </w:pPr>
          </w:p>
        </w:tc>
        <w:tc>
          <w:tcPr>
            <w:tcW w:w="540" w:type="dxa"/>
            <w:tcBorders>
              <w:top w:val="nil"/>
              <w:left w:val="nil"/>
              <w:bottom w:val="nil"/>
              <w:right w:val="nil"/>
            </w:tcBorders>
          </w:tcPr>
          <w:p w:rsidR="0020653B" w:rsidRDefault="0020653B">
            <w:pPr>
              <w:jc w:val="both"/>
              <w:rPr>
                <w:rFonts w:cs="David"/>
                <w:sz w:val="26"/>
                <w:szCs w:val="26"/>
              </w:rPr>
            </w:pPr>
          </w:p>
        </w:tc>
        <w:tc>
          <w:tcPr>
            <w:tcW w:w="531" w:type="dxa"/>
            <w:tcBorders>
              <w:top w:val="nil"/>
              <w:left w:val="nil"/>
              <w:bottom w:val="nil"/>
              <w:right w:val="nil"/>
            </w:tcBorders>
          </w:tcPr>
          <w:p w:rsidR="0020653B" w:rsidRDefault="0020653B">
            <w:pPr>
              <w:jc w:val="both"/>
              <w:rPr>
                <w:rFonts w:cs="David"/>
                <w:sz w:val="26"/>
                <w:szCs w:val="26"/>
              </w:rPr>
            </w:pPr>
            <w:r>
              <w:rPr>
                <w:rFonts w:cs="David"/>
                <w:sz w:val="26"/>
                <w:szCs w:val="26"/>
                <w:rtl/>
              </w:rPr>
              <w:t>(2)</w:t>
            </w:r>
          </w:p>
        </w:tc>
        <w:tc>
          <w:tcPr>
            <w:tcW w:w="5157" w:type="dxa"/>
            <w:gridSpan w:val="2"/>
            <w:tcBorders>
              <w:top w:val="nil"/>
              <w:left w:val="nil"/>
              <w:bottom w:val="nil"/>
              <w:right w:val="nil"/>
            </w:tcBorders>
          </w:tcPr>
          <w:p w:rsidR="0020653B" w:rsidRDefault="0020653B">
            <w:pPr>
              <w:jc w:val="both"/>
              <w:rPr>
                <w:rFonts w:cs="David"/>
                <w:sz w:val="26"/>
                <w:szCs w:val="26"/>
                <w:rtl/>
              </w:rPr>
            </w:pPr>
            <w:r>
              <w:rPr>
                <w:rFonts w:cs="David"/>
                <w:sz w:val="26"/>
                <w:szCs w:val="26"/>
                <w:rtl/>
              </w:rPr>
              <w:t>החברים בתאגיד הם יצרנים, יבואנים או בתי עסק וכן ארגונים המייצגים אותם; לענין זה, "חבר בתאגיד" - בעל מניה, שותף, חבר עמותה, חבר אגודה שיתופית או כל חבר אחר בהתאם לאופן ההתאגדות של התאגיד;</w:t>
            </w:r>
          </w:p>
          <w:p w:rsidR="0020653B" w:rsidRDefault="0020653B">
            <w:pPr>
              <w:jc w:val="both"/>
              <w:rPr>
                <w:rFonts w:cs="David"/>
                <w:sz w:val="26"/>
                <w:szCs w:val="26"/>
              </w:rPr>
            </w:pPr>
          </w:p>
        </w:tc>
      </w:tr>
      <w:tr w:rsidR="0020653B" w:rsidTr="0020653B">
        <w:trPr>
          <w:jc w:val="right"/>
        </w:trPr>
        <w:tc>
          <w:tcPr>
            <w:tcW w:w="1394" w:type="dxa"/>
            <w:tcBorders>
              <w:top w:val="nil"/>
              <w:left w:val="nil"/>
              <w:bottom w:val="nil"/>
              <w:right w:val="nil"/>
            </w:tcBorders>
          </w:tcPr>
          <w:p w:rsidR="0020653B" w:rsidRDefault="0020653B">
            <w:pPr>
              <w:jc w:val="both"/>
              <w:rPr>
                <w:rFonts w:cs="David"/>
                <w:sz w:val="26"/>
                <w:szCs w:val="26"/>
              </w:rPr>
            </w:pPr>
          </w:p>
        </w:tc>
        <w:tc>
          <w:tcPr>
            <w:tcW w:w="900" w:type="dxa"/>
            <w:tcBorders>
              <w:top w:val="nil"/>
              <w:left w:val="nil"/>
              <w:bottom w:val="nil"/>
              <w:right w:val="nil"/>
            </w:tcBorders>
          </w:tcPr>
          <w:p w:rsidR="0020653B" w:rsidRDefault="0020653B">
            <w:pPr>
              <w:jc w:val="both"/>
              <w:rPr>
                <w:rFonts w:cs="David"/>
                <w:sz w:val="26"/>
                <w:szCs w:val="26"/>
              </w:rPr>
            </w:pPr>
          </w:p>
        </w:tc>
        <w:tc>
          <w:tcPr>
            <w:tcW w:w="540" w:type="dxa"/>
            <w:tcBorders>
              <w:top w:val="nil"/>
              <w:left w:val="nil"/>
              <w:bottom w:val="nil"/>
              <w:right w:val="nil"/>
            </w:tcBorders>
          </w:tcPr>
          <w:p w:rsidR="0020653B" w:rsidRDefault="0020653B">
            <w:pPr>
              <w:jc w:val="both"/>
              <w:rPr>
                <w:rFonts w:cs="David"/>
                <w:sz w:val="26"/>
                <w:szCs w:val="26"/>
              </w:rPr>
            </w:pPr>
          </w:p>
        </w:tc>
        <w:tc>
          <w:tcPr>
            <w:tcW w:w="531" w:type="dxa"/>
            <w:tcBorders>
              <w:top w:val="nil"/>
              <w:left w:val="nil"/>
              <w:bottom w:val="nil"/>
              <w:right w:val="nil"/>
            </w:tcBorders>
          </w:tcPr>
          <w:p w:rsidR="0020653B" w:rsidRDefault="0020653B">
            <w:pPr>
              <w:jc w:val="both"/>
              <w:rPr>
                <w:rFonts w:cs="David"/>
                <w:sz w:val="26"/>
                <w:szCs w:val="26"/>
              </w:rPr>
            </w:pPr>
            <w:r>
              <w:rPr>
                <w:rFonts w:cs="David"/>
                <w:sz w:val="26"/>
                <w:szCs w:val="26"/>
                <w:rtl/>
              </w:rPr>
              <w:t>(3)</w:t>
            </w:r>
          </w:p>
        </w:tc>
        <w:tc>
          <w:tcPr>
            <w:tcW w:w="5157" w:type="dxa"/>
            <w:gridSpan w:val="2"/>
            <w:tcBorders>
              <w:top w:val="nil"/>
              <w:left w:val="nil"/>
              <w:bottom w:val="nil"/>
              <w:right w:val="nil"/>
            </w:tcBorders>
          </w:tcPr>
          <w:p w:rsidR="0020653B" w:rsidRDefault="0020653B">
            <w:pPr>
              <w:jc w:val="both"/>
              <w:rPr>
                <w:rFonts w:cs="David"/>
                <w:sz w:val="26"/>
                <w:szCs w:val="26"/>
                <w:rtl/>
              </w:rPr>
            </w:pPr>
            <w:r>
              <w:rPr>
                <w:rFonts w:cs="David"/>
                <w:sz w:val="26"/>
                <w:szCs w:val="26"/>
                <w:rtl/>
              </w:rPr>
              <w:t>מסמכי היסוד של התאגיד קובעים –</w:t>
            </w:r>
          </w:p>
          <w:p w:rsidR="0020653B" w:rsidRDefault="0020653B">
            <w:pPr>
              <w:jc w:val="both"/>
              <w:rPr>
                <w:rFonts w:cs="David"/>
                <w:sz w:val="26"/>
                <w:szCs w:val="26"/>
              </w:rPr>
            </w:pPr>
          </w:p>
        </w:tc>
      </w:tr>
      <w:tr w:rsidR="0020653B" w:rsidTr="0020653B">
        <w:trPr>
          <w:jc w:val="right"/>
        </w:trPr>
        <w:tc>
          <w:tcPr>
            <w:tcW w:w="1394" w:type="dxa"/>
            <w:tcBorders>
              <w:top w:val="nil"/>
              <w:left w:val="nil"/>
              <w:bottom w:val="nil"/>
              <w:right w:val="nil"/>
            </w:tcBorders>
          </w:tcPr>
          <w:p w:rsidR="0020653B" w:rsidRDefault="0020653B">
            <w:pPr>
              <w:jc w:val="both"/>
              <w:rPr>
                <w:rFonts w:cs="David"/>
                <w:sz w:val="26"/>
                <w:szCs w:val="26"/>
              </w:rPr>
            </w:pPr>
          </w:p>
        </w:tc>
        <w:tc>
          <w:tcPr>
            <w:tcW w:w="900" w:type="dxa"/>
            <w:tcBorders>
              <w:top w:val="nil"/>
              <w:left w:val="nil"/>
              <w:bottom w:val="nil"/>
              <w:right w:val="nil"/>
            </w:tcBorders>
          </w:tcPr>
          <w:p w:rsidR="0020653B" w:rsidRDefault="0020653B">
            <w:pPr>
              <w:jc w:val="both"/>
              <w:rPr>
                <w:rFonts w:cs="David"/>
                <w:sz w:val="26"/>
                <w:szCs w:val="26"/>
              </w:rPr>
            </w:pPr>
          </w:p>
        </w:tc>
        <w:tc>
          <w:tcPr>
            <w:tcW w:w="540" w:type="dxa"/>
            <w:tcBorders>
              <w:top w:val="nil"/>
              <w:left w:val="nil"/>
              <w:bottom w:val="nil"/>
              <w:right w:val="nil"/>
            </w:tcBorders>
          </w:tcPr>
          <w:p w:rsidR="0020653B" w:rsidRDefault="0020653B">
            <w:pPr>
              <w:jc w:val="both"/>
              <w:rPr>
                <w:rFonts w:cs="David"/>
                <w:sz w:val="26"/>
                <w:szCs w:val="26"/>
              </w:rPr>
            </w:pPr>
          </w:p>
        </w:tc>
        <w:tc>
          <w:tcPr>
            <w:tcW w:w="531" w:type="dxa"/>
            <w:tcBorders>
              <w:top w:val="nil"/>
              <w:left w:val="nil"/>
              <w:bottom w:val="nil"/>
              <w:right w:val="nil"/>
            </w:tcBorders>
          </w:tcPr>
          <w:p w:rsidR="0020653B" w:rsidRDefault="0020653B">
            <w:pPr>
              <w:jc w:val="both"/>
              <w:rPr>
                <w:rFonts w:cs="David"/>
                <w:sz w:val="26"/>
                <w:szCs w:val="26"/>
              </w:rPr>
            </w:pPr>
          </w:p>
        </w:tc>
        <w:tc>
          <w:tcPr>
            <w:tcW w:w="561" w:type="dxa"/>
            <w:tcBorders>
              <w:top w:val="nil"/>
              <w:left w:val="nil"/>
              <w:bottom w:val="nil"/>
              <w:right w:val="nil"/>
            </w:tcBorders>
          </w:tcPr>
          <w:p w:rsidR="0020653B" w:rsidRDefault="0020653B">
            <w:pPr>
              <w:jc w:val="both"/>
              <w:rPr>
                <w:rFonts w:cs="David"/>
                <w:sz w:val="26"/>
                <w:szCs w:val="26"/>
              </w:rPr>
            </w:pPr>
            <w:r>
              <w:rPr>
                <w:rFonts w:cs="David"/>
                <w:sz w:val="26"/>
                <w:szCs w:val="26"/>
                <w:rtl/>
              </w:rPr>
              <w:t>(א)</w:t>
            </w:r>
          </w:p>
        </w:tc>
        <w:tc>
          <w:tcPr>
            <w:tcW w:w="4596" w:type="dxa"/>
            <w:tcBorders>
              <w:top w:val="nil"/>
              <w:left w:val="nil"/>
              <w:bottom w:val="nil"/>
              <w:right w:val="nil"/>
            </w:tcBorders>
          </w:tcPr>
          <w:p w:rsidR="0020653B" w:rsidRDefault="0020653B">
            <w:pPr>
              <w:jc w:val="both"/>
              <w:rPr>
                <w:rFonts w:cs="David"/>
                <w:sz w:val="26"/>
                <w:szCs w:val="26"/>
                <w:rtl/>
              </w:rPr>
            </w:pPr>
            <w:r>
              <w:rPr>
                <w:rFonts w:cs="David"/>
                <w:sz w:val="26"/>
                <w:szCs w:val="26"/>
                <w:rtl/>
              </w:rPr>
              <w:t>כי מטרתו היחידה של התאגיד היא כאמור בפסקה (1) וכי כל נכסיו משמשים רק למטרה האמורה;</w:t>
            </w:r>
          </w:p>
          <w:p w:rsidR="0020653B" w:rsidRDefault="0020653B">
            <w:pPr>
              <w:jc w:val="both"/>
              <w:rPr>
                <w:rFonts w:cs="David"/>
                <w:sz w:val="26"/>
                <w:szCs w:val="26"/>
              </w:rPr>
            </w:pPr>
          </w:p>
        </w:tc>
      </w:tr>
      <w:tr w:rsidR="0020653B" w:rsidTr="0020653B">
        <w:trPr>
          <w:jc w:val="right"/>
        </w:trPr>
        <w:tc>
          <w:tcPr>
            <w:tcW w:w="1394" w:type="dxa"/>
            <w:tcBorders>
              <w:top w:val="nil"/>
              <w:left w:val="nil"/>
              <w:bottom w:val="nil"/>
              <w:right w:val="nil"/>
            </w:tcBorders>
          </w:tcPr>
          <w:p w:rsidR="0020653B" w:rsidRDefault="0020653B">
            <w:pPr>
              <w:jc w:val="both"/>
              <w:rPr>
                <w:rFonts w:cs="David"/>
                <w:sz w:val="26"/>
                <w:szCs w:val="26"/>
              </w:rPr>
            </w:pPr>
          </w:p>
        </w:tc>
        <w:tc>
          <w:tcPr>
            <w:tcW w:w="900" w:type="dxa"/>
            <w:tcBorders>
              <w:top w:val="nil"/>
              <w:left w:val="nil"/>
              <w:bottom w:val="nil"/>
              <w:right w:val="nil"/>
            </w:tcBorders>
          </w:tcPr>
          <w:p w:rsidR="0020653B" w:rsidRDefault="0020653B">
            <w:pPr>
              <w:jc w:val="both"/>
              <w:rPr>
                <w:rFonts w:cs="David"/>
                <w:sz w:val="26"/>
                <w:szCs w:val="26"/>
              </w:rPr>
            </w:pPr>
          </w:p>
        </w:tc>
        <w:tc>
          <w:tcPr>
            <w:tcW w:w="540" w:type="dxa"/>
            <w:tcBorders>
              <w:top w:val="nil"/>
              <w:left w:val="nil"/>
              <w:bottom w:val="nil"/>
              <w:right w:val="nil"/>
            </w:tcBorders>
          </w:tcPr>
          <w:p w:rsidR="0020653B" w:rsidRDefault="0020653B">
            <w:pPr>
              <w:jc w:val="both"/>
              <w:rPr>
                <w:rFonts w:cs="David"/>
                <w:sz w:val="26"/>
                <w:szCs w:val="26"/>
              </w:rPr>
            </w:pPr>
          </w:p>
        </w:tc>
        <w:tc>
          <w:tcPr>
            <w:tcW w:w="531" w:type="dxa"/>
            <w:tcBorders>
              <w:top w:val="nil"/>
              <w:left w:val="nil"/>
              <w:bottom w:val="nil"/>
              <w:right w:val="nil"/>
            </w:tcBorders>
          </w:tcPr>
          <w:p w:rsidR="0020653B" w:rsidRDefault="0020653B">
            <w:pPr>
              <w:jc w:val="both"/>
              <w:rPr>
                <w:rFonts w:cs="David"/>
                <w:sz w:val="26"/>
                <w:szCs w:val="26"/>
              </w:rPr>
            </w:pPr>
          </w:p>
        </w:tc>
        <w:tc>
          <w:tcPr>
            <w:tcW w:w="561" w:type="dxa"/>
            <w:tcBorders>
              <w:top w:val="nil"/>
              <w:left w:val="nil"/>
              <w:bottom w:val="nil"/>
              <w:right w:val="nil"/>
            </w:tcBorders>
          </w:tcPr>
          <w:p w:rsidR="0020653B" w:rsidRDefault="0020653B">
            <w:pPr>
              <w:jc w:val="both"/>
              <w:rPr>
                <w:rFonts w:cs="David"/>
                <w:sz w:val="26"/>
                <w:szCs w:val="26"/>
              </w:rPr>
            </w:pPr>
            <w:r>
              <w:rPr>
                <w:rFonts w:cs="David"/>
                <w:sz w:val="26"/>
                <w:szCs w:val="26"/>
                <w:rtl/>
              </w:rPr>
              <w:t>(ב)</w:t>
            </w:r>
          </w:p>
        </w:tc>
        <w:tc>
          <w:tcPr>
            <w:tcW w:w="4596" w:type="dxa"/>
            <w:tcBorders>
              <w:top w:val="nil"/>
              <w:left w:val="nil"/>
              <w:bottom w:val="nil"/>
              <w:right w:val="nil"/>
            </w:tcBorders>
          </w:tcPr>
          <w:p w:rsidR="0020653B" w:rsidRDefault="0020653B">
            <w:pPr>
              <w:jc w:val="both"/>
              <w:rPr>
                <w:rFonts w:cs="David"/>
                <w:sz w:val="26"/>
                <w:szCs w:val="26"/>
                <w:rtl/>
              </w:rPr>
            </w:pPr>
            <w:r>
              <w:rPr>
                <w:rFonts w:cs="David"/>
                <w:sz w:val="26"/>
                <w:szCs w:val="26"/>
                <w:rtl/>
              </w:rPr>
              <w:t>איסור על חלוקת רווחים לחברי התאגיד; לענין זה לא יראו פירעון של הלוואה שנתן חבר בתאגיד לתאגיד כחלוקת רווחים, ובלבד שהתשואה על ההלוואה אינה חורגת מתשואה סבירה ומקובלת במשק;</w:t>
            </w:r>
          </w:p>
          <w:p w:rsidR="0020653B" w:rsidRDefault="0020653B">
            <w:pPr>
              <w:jc w:val="both"/>
              <w:rPr>
                <w:rFonts w:cs="David"/>
                <w:sz w:val="26"/>
                <w:szCs w:val="26"/>
              </w:rPr>
            </w:pPr>
          </w:p>
        </w:tc>
      </w:tr>
      <w:tr w:rsidR="0020653B" w:rsidTr="0020653B">
        <w:trPr>
          <w:jc w:val="right"/>
        </w:trPr>
        <w:tc>
          <w:tcPr>
            <w:tcW w:w="1394" w:type="dxa"/>
            <w:tcBorders>
              <w:top w:val="nil"/>
              <w:left w:val="nil"/>
              <w:bottom w:val="nil"/>
              <w:right w:val="nil"/>
            </w:tcBorders>
          </w:tcPr>
          <w:p w:rsidR="0020653B" w:rsidRDefault="0020653B">
            <w:pPr>
              <w:jc w:val="both"/>
              <w:rPr>
                <w:rFonts w:cs="David"/>
                <w:sz w:val="26"/>
                <w:szCs w:val="26"/>
              </w:rPr>
            </w:pPr>
          </w:p>
        </w:tc>
        <w:tc>
          <w:tcPr>
            <w:tcW w:w="900" w:type="dxa"/>
            <w:tcBorders>
              <w:top w:val="nil"/>
              <w:left w:val="nil"/>
              <w:bottom w:val="nil"/>
              <w:right w:val="nil"/>
            </w:tcBorders>
          </w:tcPr>
          <w:p w:rsidR="0020653B" w:rsidRDefault="0020653B">
            <w:pPr>
              <w:jc w:val="both"/>
              <w:rPr>
                <w:rFonts w:cs="David"/>
                <w:sz w:val="26"/>
                <w:szCs w:val="26"/>
              </w:rPr>
            </w:pPr>
          </w:p>
        </w:tc>
        <w:tc>
          <w:tcPr>
            <w:tcW w:w="540" w:type="dxa"/>
            <w:tcBorders>
              <w:top w:val="nil"/>
              <w:left w:val="nil"/>
              <w:bottom w:val="nil"/>
              <w:right w:val="nil"/>
            </w:tcBorders>
          </w:tcPr>
          <w:p w:rsidR="0020653B" w:rsidRDefault="0020653B">
            <w:pPr>
              <w:jc w:val="both"/>
              <w:rPr>
                <w:rFonts w:cs="David"/>
                <w:sz w:val="26"/>
                <w:szCs w:val="26"/>
              </w:rPr>
            </w:pPr>
            <w:r>
              <w:rPr>
                <w:rFonts w:cs="David"/>
                <w:sz w:val="26"/>
                <w:szCs w:val="26"/>
                <w:rtl/>
              </w:rPr>
              <w:t>(ב)</w:t>
            </w:r>
          </w:p>
        </w:tc>
        <w:tc>
          <w:tcPr>
            <w:tcW w:w="5688" w:type="dxa"/>
            <w:gridSpan w:val="3"/>
            <w:tcBorders>
              <w:top w:val="nil"/>
              <w:left w:val="nil"/>
              <w:bottom w:val="nil"/>
              <w:right w:val="nil"/>
            </w:tcBorders>
          </w:tcPr>
          <w:p w:rsidR="0020653B" w:rsidRDefault="0020653B">
            <w:pPr>
              <w:jc w:val="both"/>
              <w:rPr>
                <w:rFonts w:cs="David"/>
                <w:sz w:val="26"/>
                <w:szCs w:val="26"/>
                <w:rtl/>
              </w:rPr>
            </w:pPr>
            <w:r>
              <w:rPr>
                <w:rFonts w:cs="David"/>
                <w:sz w:val="26"/>
                <w:szCs w:val="26"/>
                <w:rtl/>
              </w:rPr>
              <w:t>תאגיד מיחזור יאפשר לכל יצרן, יבואן או בית עסק, בין שהוא חבר בתאגיד ובין שאינו חבר בו, להשתמש בשירותים שהוא נותן, בתנאים שוויוניים; לענין זה לא יראו פגיעה בתנאים שוויוניים קביעת תנאים שיאפשרו לתאגיד המיחזור החזר הוצאותיו הראשונות וכיסוי ההוצאות התפעוליות שלו.</w:t>
            </w:r>
          </w:p>
          <w:p w:rsidR="0020653B" w:rsidRDefault="0020653B">
            <w:pPr>
              <w:jc w:val="both"/>
              <w:rPr>
                <w:rFonts w:cs="David"/>
                <w:sz w:val="26"/>
                <w:szCs w:val="26"/>
              </w:rPr>
            </w:pPr>
          </w:p>
        </w:tc>
      </w:tr>
      <w:tr w:rsidR="0020653B" w:rsidTr="0020653B">
        <w:trPr>
          <w:jc w:val="right"/>
        </w:trPr>
        <w:tc>
          <w:tcPr>
            <w:tcW w:w="1394" w:type="dxa"/>
            <w:tcBorders>
              <w:top w:val="nil"/>
              <w:left w:val="nil"/>
              <w:bottom w:val="nil"/>
              <w:right w:val="nil"/>
            </w:tcBorders>
          </w:tcPr>
          <w:p w:rsidR="0020653B" w:rsidRDefault="0020653B">
            <w:pPr>
              <w:jc w:val="both"/>
              <w:rPr>
                <w:rFonts w:cs="David"/>
                <w:sz w:val="26"/>
                <w:szCs w:val="26"/>
              </w:rPr>
            </w:pPr>
          </w:p>
        </w:tc>
        <w:tc>
          <w:tcPr>
            <w:tcW w:w="900" w:type="dxa"/>
            <w:tcBorders>
              <w:top w:val="nil"/>
              <w:left w:val="nil"/>
              <w:bottom w:val="nil"/>
              <w:right w:val="nil"/>
            </w:tcBorders>
          </w:tcPr>
          <w:p w:rsidR="0020653B" w:rsidRDefault="0020653B">
            <w:pPr>
              <w:jc w:val="both"/>
              <w:rPr>
                <w:rFonts w:cs="David"/>
                <w:sz w:val="26"/>
                <w:szCs w:val="26"/>
              </w:rPr>
            </w:pPr>
          </w:p>
        </w:tc>
        <w:tc>
          <w:tcPr>
            <w:tcW w:w="540" w:type="dxa"/>
            <w:tcBorders>
              <w:top w:val="nil"/>
              <w:left w:val="nil"/>
              <w:bottom w:val="nil"/>
              <w:right w:val="nil"/>
            </w:tcBorders>
          </w:tcPr>
          <w:p w:rsidR="0020653B" w:rsidRDefault="0020653B">
            <w:pPr>
              <w:jc w:val="both"/>
              <w:rPr>
                <w:rFonts w:cs="David"/>
                <w:sz w:val="26"/>
                <w:szCs w:val="26"/>
              </w:rPr>
            </w:pPr>
            <w:r>
              <w:rPr>
                <w:rFonts w:cs="David"/>
                <w:sz w:val="26"/>
                <w:szCs w:val="26"/>
                <w:rtl/>
              </w:rPr>
              <w:t>(ג)</w:t>
            </w:r>
          </w:p>
        </w:tc>
        <w:tc>
          <w:tcPr>
            <w:tcW w:w="5688" w:type="dxa"/>
            <w:gridSpan w:val="3"/>
            <w:tcBorders>
              <w:top w:val="nil"/>
              <w:left w:val="nil"/>
              <w:bottom w:val="nil"/>
              <w:right w:val="nil"/>
            </w:tcBorders>
          </w:tcPr>
          <w:p w:rsidR="0020653B" w:rsidRDefault="0020653B">
            <w:pPr>
              <w:jc w:val="both"/>
              <w:rPr>
                <w:rFonts w:cs="David"/>
                <w:sz w:val="26"/>
                <w:szCs w:val="26"/>
              </w:rPr>
            </w:pPr>
            <w:r>
              <w:rPr>
                <w:rFonts w:cs="David"/>
                <w:sz w:val="26"/>
                <w:szCs w:val="26"/>
                <w:rtl/>
              </w:rPr>
              <w:t>השרים רשאים לבטל הכרה בתאגיד מיחזור, לאחר שנתנו לתאגיד הזדמנות להשמיע את טענותיו בפניו, בין השאר בשל אי קיום התנאים שבסעיפים קטנים (א) או (ב).</w:t>
            </w:r>
          </w:p>
          <w:p w:rsidR="0020653B" w:rsidRDefault="0020653B">
            <w:pPr>
              <w:jc w:val="both"/>
              <w:rPr>
                <w:rFonts w:cs="David"/>
                <w:sz w:val="26"/>
                <w:szCs w:val="26"/>
              </w:rPr>
            </w:pPr>
          </w:p>
        </w:tc>
      </w:tr>
    </w:tbl>
    <w:p w:rsidR="00000000" w:rsidRDefault="0020653B">
      <w:pPr>
        <w:jc w:val="both"/>
        <w:rPr>
          <w:rFonts w:cs="David"/>
          <w:sz w:val="26"/>
          <w:szCs w:val="26"/>
          <w:rtl/>
        </w:rPr>
      </w:pPr>
    </w:p>
    <w:p w:rsidR="00000000" w:rsidRDefault="0020653B">
      <w:pPr>
        <w:jc w:val="both"/>
        <w:rPr>
          <w:rFonts w:cs="David"/>
          <w:sz w:val="26"/>
          <w:szCs w:val="26"/>
          <w:rtl/>
        </w:rPr>
      </w:pPr>
    </w:p>
    <w:p w:rsidR="00000000" w:rsidRDefault="0020653B">
      <w:pPr>
        <w:pStyle w:val="2"/>
        <w:rPr>
          <w:rFonts w:cs="David"/>
          <w:sz w:val="28"/>
          <w:szCs w:val="28"/>
          <w:rtl/>
        </w:rPr>
      </w:pPr>
      <w:r>
        <w:rPr>
          <w:rFonts w:cs="David"/>
          <w:sz w:val="28"/>
          <w:szCs w:val="28"/>
          <w:rtl/>
        </w:rPr>
        <w:t>דברי-הסבר</w:t>
      </w:r>
    </w:p>
    <w:p w:rsidR="00000000" w:rsidRDefault="0020653B">
      <w:pPr>
        <w:jc w:val="both"/>
        <w:rPr>
          <w:rFonts w:cs="David"/>
          <w:sz w:val="26"/>
          <w:szCs w:val="26"/>
          <w:rtl/>
        </w:rPr>
      </w:pPr>
    </w:p>
    <w:p w:rsidR="00000000" w:rsidRDefault="0020653B">
      <w:pPr>
        <w:jc w:val="both"/>
        <w:rPr>
          <w:rFonts w:cs="David"/>
          <w:sz w:val="26"/>
          <w:szCs w:val="26"/>
          <w:rtl/>
        </w:rPr>
      </w:pPr>
    </w:p>
    <w:p w:rsidR="00000000" w:rsidRDefault="0020653B">
      <w:pPr>
        <w:jc w:val="both"/>
        <w:rPr>
          <w:rFonts w:cs="David"/>
          <w:sz w:val="26"/>
          <w:szCs w:val="26"/>
          <w:rtl/>
        </w:rPr>
      </w:pPr>
      <w:r>
        <w:rPr>
          <w:rFonts w:cs="David"/>
          <w:sz w:val="26"/>
          <w:szCs w:val="26"/>
          <w:rtl/>
        </w:rPr>
        <w:t xml:space="preserve">שאריות הצמיגים והגומי גורמות לזיהום אויר מסוכן ולפגיעה בסביבה. בישראל נשרפים או </w:t>
      </w:r>
      <w:r>
        <w:rPr>
          <w:rFonts w:cs="David"/>
          <w:sz w:val="26"/>
          <w:szCs w:val="26"/>
          <w:rtl/>
        </w:rPr>
        <w:t>נקברים באדמה כ-60 אלף טון גומי בשנה. כתוצאה מהטיפול הלקוי בשאריות נוצר זיהום אוויר. עד כה לא הקדיש המחוקק את תשומת הלב הראויה לענין, ככל הנראה, מתוך חוסר רגישות לסביבה וחוסר מודעות לחשיבות ההגנה בנושאי שימור איכות הסביבה.</w:t>
      </w:r>
    </w:p>
    <w:p w:rsidR="00000000" w:rsidRDefault="0020653B">
      <w:pPr>
        <w:jc w:val="both"/>
        <w:rPr>
          <w:rFonts w:cs="David"/>
          <w:sz w:val="26"/>
          <w:szCs w:val="26"/>
          <w:rtl/>
        </w:rPr>
      </w:pPr>
    </w:p>
    <w:p w:rsidR="00000000" w:rsidRDefault="0020653B">
      <w:pPr>
        <w:jc w:val="both"/>
        <w:rPr>
          <w:rFonts w:cs="David"/>
          <w:sz w:val="26"/>
          <w:szCs w:val="26"/>
          <w:rtl/>
        </w:rPr>
      </w:pPr>
      <w:r>
        <w:rPr>
          <w:rFonts w:cs="David"/>
          <w:sz w:val="26"/>
          <w:szCs w:val="26"/>
          <w:rtl/>
        </w:rPr>
        <w:t xml:space="preserve">מיחזור השאריות מהווה פתרון לבעיה </w:t>
      </w:r>
      <w:r>
        <w:rPr>
          <w:rFonts w:cs="David"/>
          <w:sz w:val="26"/>
          <w:szCs w:val="26"/>
          <w:rtl/>
        </w:rPr>
        <w:t>חשובה הן מבחינת הגורמים שמזהמים את הסביבה והן מבחינת ההחזר של החומר הגולמי המבוקש לשימוש החוזר בתהליכי התעשייה.</w:t>
      </w:r>
    </w:p>
    <w:p w:rsidR="00000000" w:rsidRDefault="0020653B">
      <w:pPr>
        <w:jc w:val="both"/>
        <w:rPr>
          <w:rFonts w:cs="David"/>
          <w:sz w:val="26"/>
          <w:szCs w:val="26"/>
          <w:rtl/>
        </w:rPr>
      </w:pPr>
    </w:p>
    <w:p w:rsidR="00000000" w:rsidRDefault="0020653B">
      <w:pPr>
        <w:jc w:val="both"/>
        <w:rPr>
          <w:rFonts w:cs="David"/>
          <w:sz w:val="26"/>
          <w:szCs w:val="26"/>
          <w:rtl/>
        </w:rPr>
      </w:pPr>
      <w:r>
        <w:rPr>
          <w:rFonts w:cs="David"/>
          <w:sz w:val="26"/>
          <w:szCs w:val="26"/>
          <w:rtl/>
        </w:rPr>
        <w:t>מוצע לעודד את הקמתם של תאגידים אשר יעסקו במיחזור שאריות הגומי והצמיגים.</w:t>
      </w:r>
    </w:p>
    <w:p w:rsidR="00000000" w:rsidRDefault="0020653B">
      <w:pPr>
        <w:jc w:val="both"/>
        <w:rPr>
          <w:rFonts w:cs="David"/>
          <w:sz w:val="26"/>
          <w:szCs w:val="26"/>
          <w:rtl/>
        </w:rPr>
      </w:pPr>
    </w:p>
    <w:p w:rsidR="00000000" w:rsidRDefault="0020653B">
      <w:pPr>
        <w:jc w:val="both"/>
        <w:rPr>
          <w:rFonts w:cs="David"/>
          <w:sz w:val="26"/>
          <w:szCs w:val="26"/>
          <w:rtl/>
        </w:rPr>
      </w:pPr>
      <w:r>
        <w:rPr>
          <w:rFonts w:cs="David"/>
          <w:sz w:val="26"/>
          <w:szCs w:val="26"/>
          <w:rtl/>
        </w:rPr>
        <w:t>בנוסף מוצע, כי תאגידי המיחזור ימומנו, בין השאר, מתשלומי חובה שיחולו על</w:t>
      </w:r>
      <w:r>
        <w:rPr>
          <w:rFonts w:cs="David"/>
          <w:sz w:val="26"/>
          <w:szCs w:val="26"/>
          <w:rtl/>
        </w:rPr>
        <w:t xml:space="preserve">  יבואני צמיגים, מיצרני צמיגים ומיבואני רכב, על-פי קריטריונים שיקבעו השר לאיכות הסביבה ושר המסחר והתעשיה, ובכך יחסכו כספים רבים לאוצר המדינה.</w:t>
      </w:r>
    </w:p>
    <w:p w:rsidR="00000000" w:rsidRDefault="0020653B">
      <w:pPr>
        <w:jc w:val="both"/>
        <w:rPr>
          <w:rFonts w:cs="David"/>
          <w:sz w:val="26"/>
          <w:szCs w:val="26"/>
          <w:rtl/>
        </w:rPr>
      </w:pPr>
    </w:p>
    <w:p w:rsidR="00000000" w:rsidRDefault="0020653B">
      <w:pPr>
        <w:jc w:val="both"/>
        <w:rPr>
          <w:rFonts w:cs="David"/>
          <w:sz w:val="26"/>
          <w:szCs w:val="26"/>
          <w:rtl/>
        </w:rPr>
      </w:pPr>
      <w:r>
        <w:rPr>
          <w:rFonts w:cs="David"/>
          <w:sz w:val="26"/>
          <w:szCs w:val="26"/>
          <w:rtl/>
        </w:rPr>
        <w:t>הצעת חוק דומה בעיקרה הונחה על שולחן הכנסת החמש-עשרה ע"י חה"כ מיכאל נודלמן וחכ"ים אחרים ומספרה פ/1458.</w:t>
      </w:r>
    </w:p>
    <w:p w:rsidR="00000000" w:rsidRDefault="0020653B">
      <w:pPr>
        <w:jc w:val="both"/>
        <w:rPr>
          <w:rFonts w:cs="David"/>
          <w:sz w:val="26"/>
          <w:szCs w:val="26"/>
          <w:rtl/>
        </w:rPr>
      </w:pPr>
    </w:p>
    <w:p w:rsidR="00000000" w:rsidRDefault="0020653B">
      <w:pPr>
        <w:jc w:val="both"/>
        <w:rPr>
          <w:rFonts w:cs="David"/>
          <w:sz w:val="26"/>
          <w:szCs w:val="26"/>
          <w:rtl/>
        </w:rPr>
      </w:pPr>
    </w:p>
    <w:p w:rsidR="00000000" w:rsidRDefault="0020653B">
      <w:pPr>
        <w:jc w:val="both"/>
        <w:rPr>
          <w:rFonts w:cs="David"/>
          <w:sz w:val="26"/>
          <w:szCs w:val="26"/>
          <w:rtl/>
        </w:rPr>
      </w:pPr>
    </w:p>
    <w:p w:rsidR="00000000" w:rsidRDefault="0020653B">
      <w:pPr>
        <w:jc w:val="both"/>
        <w:rPr>
          <w:rFonts w:cs="David"/>
          <w:sz w:val="26"/>
          <w:szCs w:val="26"/>
          <w:rtl/>
        </w:rPr>
      </w:pPr>
    </w:p>
    <w:p w:rsidR="00000000" w:rsidRDefault="0020653B">
      <w:pPr>
        <w:jc w:val="both"/>
        <w:rPr>
          <w:rFonts w:cs="David"/>
          <w:sz w:val="26"/>
          <w:szCs w:val="26"/>
          <w:rtl/>
        </w:rPr>
      </w:pPr>
    </w:p>
    <w:p w:rsidR="00000000" w:rsidRDefault="0020653B">
      <w:pPr>
        <w:jc w:val="both"/>
        <w:rPr>
          <w:rFonts w:cs="David"/>
          <w:sz w:val="26"/>
          <w:szCs w:val="26"/>
          <w:rtl/>
        </w:rPr>
      </w:pPr>
      <w:r>
        <w:rPr>
          <w:rFonts w:cs="David"/>
          <w:sz w:val="26"/>
          <w:szCs w:val="26"/>
          <w:rtl/>
        </w:rPr>
        <w:t>---------------------------------</w:t>
      </w:r>
    </w:p>
    <w:p w:rsidR="00000000" w:rsidRDefault="0020653B">
      <w:pPr>
        <w:jc w:val="both"/>
        <w:rPr>
          <w:rFonts w:cs="David"/>
          <w:sz w:val="26"/>
          <w:szCs w:val="26"/>
          <w:rtl/>
        </w:rPr>
      </w:pPr>
      <w:r>
        <w:rPr>
          <w:rFonts w:cs="David"/>
          <w:sz w:val="26"/>
          <w:szCs w:val="26"/>
          <w:rtl/>
        </w:rPr>
        <w:t>הוגשה ליו"ר הכנסת והסגנים</w:t>
      </w:r>
    </w:p>
    <w:p w:rsidR="00000000" w:rsidRDefault="0020653B">
      <w:pPr>
        <w:jc w:val="both"/>
        <w:rPr>
          <w:rFonts w:cs="David"/>
          <w:sz w:val="26"/>
          <w:szCs w:val="26"/>
          <w:rtl/>
        </w:rPr>
      </w:pPr>
      <w:r>
        <w:rPr>
          <w:rFonts w:cs="David"/>
          <w:sz w:val="26"/>
          <w:szCs w:val="26"/>
          <w:rtl/>
        </w:rPr>
        <w:t>והונחה על שולחן הכנסת ביום</w:t>
      </w:r>
    </w:p>
    <w:p w:rsidR="00000000" w:rsidRDefault="0020653B">
      <w:pPr>
        <w:jc w:val="both"/>
        <w:rPr>
          <w:rFonts w:cs="David"/>
          <w:sz w:val="26"/>
          <w:szCs w:val="26"/>
          <w:rtl/>
        </w:rPr>
      </w:pPr>
      <w:r>
        <w:rPr>
          <w:rFonts w:cs="David"/>
          <w:sz w:val="26"/>
          <w:szCs w:val="26"/>
          <w:rtl/>
        </w:rPr>
        <w:t>י' באייר התשס"ג – 12.5.2003</w:t>
      </w:r>
    </w:p>
    <w:p w:rsidR="00000000" w:rsidRDefault="0020653B">
      <w:pPr>
        <w:jc w:val="both"/>
        <w:rPr>
          <w:rFonts w:cs="David"/>
          <w:sz w:val="26"/>
          <w:szCs w:val="26"/>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0653B">
      <w:r>
        <w:separator/>
      </w:r>
    </w:p>
  </w:endnote>
  <w:endnote w:type="continuationSeparator" w:id="0">
    <w:p w:rsidR="00000000" w:rsidRDefault="00206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0653B">
      <w:r>
        <w:separator/>
      </w:r>
    </w:p>
  </w:footnote>
  <w:footnote w:type="continuationSeparator" w:id="0">
    <w:p w:rsidR="00000000" w:rsidRDefault="002065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0653B">
    <w:pPr>
      <w:pStyle w:val="ab"/>
      <w:framePr w:wrap="auto" w:vAnchor="text" w:hAnchor="margin" w:xAlign="center" w:y="1"/>
      <w:rPr>
        <w:rStyle w:val="ad"/>
        <w:rtl/>
      </w:rPr>
    </w:pPr>
    <w:r>
      <w:rPr>
        <w:rStyle w:val="ad"/>
      </w:rPr>
      <w:fldChar w:fldCharType="begin"/>
    </w:r>
    <w:r>
      <w:rPr>
        <w:rStyle w:val="ad"/>
      </w:rPr>
      <w:instrText xml:space="preserve">PAGE  </w:instrText>
    </w:r>
    <w:r>
      <w:rPr>
        <w:rStyle w:val="ad"/>
      </w:rPr>
      <w:fldChar w:fldCharType="separate"/>
    </w:r>
    <w:r>
      <w:rPr>
        <w:rStyle w:val="ad"/>
        <w:rtl/>
      </w:rPr>
      <w:t>2</w:t>
    </w:r>
    <w:r>
      <w:rPr>
        <w:rStyle w:val="ad"/>
      </w:rPr>
      <w:fldChar w:fldCharType="end"/>
    </w:r>
  </w:p>
  <w:p w:rsidR="00000000" w:rsidRDefault="0020653B">
    <w:pPr>
      <w:pStyle w:val="ab"/>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tryID" w:val=" "/>
    <w:docVar w:name="NewDocument" w:val="True"/>
    <w:docVar w:name="StoreID" w:val=" "/>
  </w:docVars>
  <w:rsids>
    <w:rsidRoot w:val="0020653B"/>
    <w:rsid w:val="002065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annotation text" w:unhideWhenUsed="0"/>
    <w:lsdException w:name="header" w:unhideWhenUsed="0"/>
    <w:lsdException w:name="footer" w:unhideWhenUsed="0"/>
    <w:lsdException w:name="caption" w:uiPriority="35" w:qFormat="1"/>
    <w:lsdException w:name="footnote reference" w:unhideWhenUsed="0"/>
    <w:lsdException w:name="annotation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sz w:val="28"/>
      <w:szCs w:val="28"/>
      <w:u w:val="single"/>
    </w:rPr>
  </w:style>
  <w:style w:type="paragraph" w:styleId="2">
    <w:name w:val="heading 2"/>
    <w:basedOn w:val="a"/>
    <w:next w:val="a"/>
    <w:link w:val="20"/>
    <w:uiPriority w:val="99"/>
    <w:qFormat/>
    <w:pPr>
      <w:keepNext/>
      <w:jc w:val="center"/>
      <w:outlineLvl w:val="1"/>
    </w:pPr>
    <w:rPr>
      <w:rFonts w:eastAsia="Times New Roman"/>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styleId="a3">
    <w:name w:val="annotation reference"/>
    <w:basedOn w:val="a0"/>
    <w:uiPriority w:val="99"/>
    <w:rPr>
      <w:rFonts w:cs="Times New Roman"/>
      <w:sz w:val="16"/>
      <w:szCs w:val="16"/>
    </w:rPr>
  </w:style>
  <w:style w:type="paragraph" w:styleId="a4">
    <w:name w:val="annotation text"/>
    <w:basedOn w:val="a"/>
    <w:link w:val="a5"/>
    <w:uiPriority w:val="99"/>
    <w:rPr>
      <w:sz w:val="20"/>
      <w:szCs w:val="20"/>
    </w:rPr>
  </w:style>
  <w:style w:type="character" w:customStyle="1" w:styleId="a5">
    <w:name w:val="טקסט הערה תו"/>
    <w:basedOn w:val="a0"/>
    <w:link w:val="a4"/>
    <w:uiPriority w:val="99"/>
    <w:semiHidden/>
    <w:rPr>
      <w:rFonts w:ascii="Times New Roman" w:hAnsi="Times New Roman" w:cs="Times New Roman"/>
      <w:sz w:val="20"/>
      <w:szCs w:val="20"/>
      <w:lang w:eastAsia="he-IL"/>
    </w:rPr>
  </w:style>
  <w:style w:type="paragraph" w:styleId="a6">
    <w:name w:val="footnote text"/>
    <w:basedOn w:val="a"/>
    <w:link w:val="a7"/>
    <w:uiPriority w:val="99"/>
    <w:rPr>
      <w:sz w:val="20"/>
      <w:szCs w:val="20"/>
    </w:rPr>
  </w:style>
  <w:style w:type="character" w:customStyle="1" w:styleId="a7">
    <w:name w:val="טקסט הערת שוליים תו"/>
    <w:basedOn w:val="a0"/>
    <w:link w:val="a6"/>
    <w:uiPriority w:val="99"/>
    <w:semiHidden/>
    <w:rPr>
      <w:rFonts w:ascii="Times New Roman" w:hAnsi="Times New Roman" w:cs="Times New Roman"/>
      <w:sz w:val="20"/>
      <w:szCs w:val="20"/>
      <w:lang w:eastAsia="he-IL"/>
    </w:rPr>
  </w:style>
  <w:style w:type="character" w:styleId="a8">
    <w:name w:val="footnote reference"/>
    <w:basedOn w:val="a0"/>
    <w:uiPriority w:val="99"/>
    <w:rPr>
      <w:rFonts w:cs="Times New Roman"/>
      <w:vertAlign w:val="superscript"/>
    </w:rPr>
  </w:style>
  <w:style w:type="paragraph" w:styleId="a9">
    <w:name w:val="Title"/>
    <w:basedOn w:val="a"/>
    <w:link w:val="aa"/>
    <w:uiPriority w:val="99"/>
    <w:qFormat/>
    <w:pPr>
      <w:jc w:val="center"/>
    </w:pPr>
    <w:rPr>
      <w:rFonts w:eastAsia="Times New Roman"/>
      <w:b/>
      <w:bCs/>
      <w:sz w:val="28"/>
      <w:szCs w:val="28"/>
      <w:u w:val="single"/>
    </w:rPr>
  </w:style>
  <w:style w:type="character" w:customStyle="1" w:styleId="aa">
    <w:name w:val="כותרת טקסט תו"/>
    <w:basedOn w:val="a0"/>
    <w:link w:val="a9"/>
    <w:uiPriority w:val="10"/>
    <w:rPr>
      <w:rFonts w:asciiTheme="majorHAnsi" w:eastAsiaTheme="majorEastAsia" w:hAnsiTheme="majorHAnsi" w:cstheme="majorBidi"/>
      <w:b/>
      <w:bCs/>
      <w:kern w:val="28"/>
      <w:sz w:val="32"/>
      <w:szCs w:val="32"/>
      <w:lang w:eastAsia="he-IL"/>
    </w:rPr>
  </w:style>
  <w:style w:type="paragraph" w:styleId="ab">
    <w:name w:val="header"/>
    <w:basedOn w:val="a"/>
    <w:link w:val="ac"/>
    <w:uiPriority w:val="99"/>
    <w:pPr>
      <w:tabs>
        <w:tab w:val="center" w:pos="4153"/>
        <w:tab w:val="right" w:pos="8306"/>
      </w:tabs>
    </w:pPr>
  </w:style>
  <w:style w:type="character" w:customStyle="1" w:styleId="ac">
    <w:name w:val="כותרת עליונה תו"/>
    <w:basedOn w:val="a0"/>
    <w:link w:val="ab"/>
    <w:uiPriority w:val="99"/>
    <w:semiHidden/>
    <w:rPr>
      <w:rFonts w:ascii="Times New Roman" w:hAnsi="Times New Roman" w:cs="Times New Roman"/>
      <w:sz w:val="24"/>
      <w:szCs w:val="24"/>
      <w:lang w:eastAsia="he-IL"/>
    </w:rPr>
  </w:style>
  <w:style w:type="character" w:styleId="ad">
    <w:name w:val="page number"/>
    <w:basedOn w:val="a0"/>
    <w:uiPriority w:val="99"/>
    <w:rPr>
      <w:rFonts w:cs="Times New Roman"/>
    </w:rPr>
  </w:style>
  <w:style w:type="paragraph" w:styleId="ae">
    <w:name w:val="footer"/>
    <w:basedOn w:val="a"/>
    <w:link w:val="af"/>
    <w:uiPriority w:val="99"/>
    <w:pPr>
      <w:tabs>
        <w:tab w:val="center" w:pos="4153"/>
        <w:tab w:val="right" w:pos="8306"/>
      </w:tabs>
    </w:pPr>
  </w:style>
  <w:style w:type="character" w:customStyle="1" w:styleId="af">
    <w:name w:val="כותרת תחתונה תו"/>
    <w:basedOn w:val="a0"/>
    <w:link w:val="ae"/>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tmp.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tmp.dot</Template>
  <TotalTime>0</TotalTime>
  <Pages>2</Pages>
  <Words>554</Words>
  <Characters>2771</Characters>
  <Application>Microsoft Office Word</Application>
  <DocSecurity>0</DocSecurity>
  <Lines>23</Lines>
  <Paragraphs>6</Paragraphs>
  <ScaleCrop>false</ScaleCrop>
  <Company>knesset</Company>
  <LinksUpToDate>false</LinksUpToDate>
  <CharactersWithSpaces>3319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מיחזור שאריות צמיגים, התשס"ג-2003</dc:title>
  <dc:subject/>
  <dc:creator>ShareDocs_User</dc:creator>
  <cp:keywords/>
  <dc:description/>
  <cp:lastModifiedBy>שמואל כוכב</cp:lastModifiedBy>
  <cp:revision>2</cp:revision>
  <cp:lastPrinted>2003-04-02T11:24:00Z</cp:lastPrinted>
  <dcterms:created xsi:type="dcterms:W3CDTF">2015-02-03T18:59:00Z</dcterms:created>
  <dcterms:modified xsi:type="dcterms:W3CDTF">2015-02-03T18:59:00Z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כ"ו באדר ב', התשס"ג</vt:lpwstr>
  </property>
  <property fmtid="{D5CDD505-2E9C-101B-9397-08002B2CF9AE}" pid="3" name="KodTemplate">
    <vt:i4>17</vt:i4>
  </property>
  <property fmtid="{D5CDD505-2E9C-101B-9397-08002B2CF9AE}" pid="4" name="MisHatzaatChok">
    <vt:lpwstr>פ/413</vt:lpwstr>
  </property>
  <property fmtid="{D5CDD505-2E9C-101B-9397-08002B2CF9AE}" pid="5" name="Nose">
    <vt:lpwstr>':שרותי משרד:כנסת 16:הצעות חוק פרטיות'_x000d__x000d_</vt:lpwstr>
  </property>
  <property fmtid="{D5CDD505-2E9C-101B-9397-08002B2CF9AE}" pid="6" name="To1">
    <vt:lpwstr/>
  </property>
  <property fmtid="{D5CDD505-2E9C-101B-9397-08002B2CF9AE}" pid="7" name="Writer_UserList">
    <vt:lpwstr/>
  </property>
  <property fmtid="{D5CDD505-2E9C-101B-9397-08002B2CF9AE}" pid="8" name="YozemHatzaa_ChakList">
    <vt:lpwstr>מיכאל נודלמן</vt:lpwstr>
  </property>
  <property fmtid="{D5CDD505-2E9C-101B-9397-08002B2CF9AE}" pid="9" name="סימוכין">
    <vt:i4>9226303</vt:i4>
  </property>
  <property fmtid="{D5CDD505-2E9C-101B-9397-08002B2CF9AE}" pid="10" name="תאריך המסמך">
    <vt:filetime>2003-03-29T22:00:00Z</vt:filetime>
  </property>
</Properties>
</file>