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216F7">
      <w:pPr>
        <w:pStyle w:val="a3"/>
        <w:bidi w:val="0"/>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7216F7">
      <w:pPr>
        <w:spacing w:line="360" w:lineRule="auto"/>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3755"/>
      </w:tblGrid>
      <w:tr w:rsidR="00000000">
        <w:tblPrEx>
          <w:tblCellMar>
            <w:top w:w="0" w:type="dxa"/>
            <w:bottom w:w="0" w:type="dxa"/>
          </w:tblCellMar>
        </w:tblPrEx>
        <w:tc>
          <w:tcPr>
            <w:tcW w:w="3755" w:type="dxa"/>
            <w:tcBorders>
              <w:top w:val="nil"/>
              <w:left w:val="nil"/>
              <w:bottom w:val="single" w:sz="4" w:space="0" w:color="auto"/>
              <w:right w:val="nil"/>
            </w:tcBorders>
          </w:tcPr>
          <w:p w:rsidR="00000000" w:rsidRDefault="007216F7">
            <w:pPr>
              <w:spacing w:after="120"/>
              <w:jc w:val="right"/>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יצחק לוי</w:t>
            </w:r>
          </w:p>
        </w:tc>
      </w:tr>
    </w:tbl>
    <w:p w:rsidR="00000000" w:rsidRDefault="007216F7">
      <w:pPr>
        <w:spacing w:line="360" w:lineRule="auto"/>
        <w:ind w:left="6866"/>
        <w:rPr>
          <w:rFonts w:cs="David"/>
          <w:b/>
          <w:bCs/>
          <w:sz w:val="26"/>
          <w:szCs w:val="26"/>
          <w:rtl/>
        </w:rPr>
      </w:pPr>
      <w:r>
        <w:rPr>
          <w:rFonts w:cs="David"/>
          <w:b/>
          <w:bCs/>
          <w:sz w:val="26"/>
          <w:szCs w:val="26"/>
          <w:rtl/>
        </w:rPr>
        <w:t>פ/1596/17</w:t>
      </w:r>
    </w:p>
    <w:p w:rsidR="00000000" w:rsidRDefault="007216F7">
      <w:pPr>
        <w:spacing w:line="360" w:lineRule="auto"/>
        <w:rPr>
          <w:rFonts w:cs="David"/>
          <w:sz w:val="26"/>
          <w:szCs w:val="26"/>
          <w:rtl/>
        </w:rPr>
      </w:pPr>
    </w:p>
    <w:p w:rsidR="00000000" w:rsidRDefault="007216F7">
      <w:pPr>
        <w:spacing w:line="360" w:lineRule="auto"/>
        <w:jc w:val="center"/>
        <w:rPr>
          <w:rFonts w:cs="David"/>
          <w:b/>
          <w:bCs/>
          <w:sz w:val="28"/>
          <w:szCs w:val="28"/>
          <w:rtl/>
        </w:rPr>
      </w:pPr>
      <w:r>
        <w:rPr>
          <w:rFonts w:cs="David"/>
          <w:b/>
          <w:bCs/>
          <w:sz w:val="28"/>
          <w:szCs w:val="28"/>
          <w:rtl/>
        </w:rPr>
        <w:t>הצעת חוק סדר הדין הפלילי (תיקון - הודעה על הגשת ערר), התשס"ז-2006</w:t>
      </w:r>
    </w:p>
    <w:p w:rsidR="00000000" w:rsidRDefault="007216F7">
      <w:pPr>
        <w:spacing w:line="360" w:lineRule="auto"/>
        <w:rPr>
          <w:rFonts w:cs="David"/>
          <w:sz w:val="26"/>
          <w:szCs w:val="26"/>
          <w:rtl/>
        </w:rPr>
      </w:pPr>
    </w:p>
    <w:tbl>
      <w:tblPr>
        <w:bidiVisual/>
        <w:tblW w:w="8543" w:type="dxa"/>
        <w:tblInd w:w="-123" w:type="dxa"/>
        <w:tblLayout w:type="fixed"/>
        <w:tblCellMar>
          <w:left w:w="57" w:type="dxa"/>
          <w:right w:w="57" w:type="dxa"/>
        </w:tblCellMar>
        <w:tblLook w:val="0000" w:firstRow="0" w:lastRow="0" w:firstColumn="0" w:lastColumn="0" w:noHBand="0" w:noVBand="0"/>
      </w:tblPr>
      <w:tblGrid>
        <w:gridCol w:w="828"/>
        <w:gridCol w:w="514"/>
        <w:gridCol w:w="900"/>
        <w:gridCol w:w="541"/>
        <w:gridCol w:w="540"/>
        <w:gridCol w:w="5220"/>
      </w:tblGrid>
      <w:tr w:rsidR="00000000">
        <w:tblPrEx>
          <w:tblCellMar>
            <w:top w:w="0" w:type="dxa"/>
            <w:bottom w:w="0" w:type="dxa"/>
          </w:tblCellMar>
        </w:tblPrEx>
        <w:trPr>
          <w:cantSplit/>
        </w:trPr>
        <w:tc>
          <w:tcPr>
            <w:tcW w:w="828" w:type="dxa"/>
            <w:tcBorders>
              <w:top w:val="nil"/>
              <w:left w:val="nil"/>
              <w:bottom w:val="nil"/>
              <w:right w:val="nil"/>
            </w:tcBorders>
          </w:tcPr>
          <w:p w:rsidR="00000000" w:rsidRDefault="007216F7">
            <w:pPr>
              <w:spacing w:after="120"/>
              <w:rPr>
                <w:rFonts w:cs="David"/>
                <w:sz w:val="26"/>
                <w:szCs w:val="26"/>
                <w:rtl/>
              </w:rPr>
            </w:pPr>
            <w:r>
              <w:rPr>
                <w:rFonts w:cs="David"/>
                <w:sz w:val="26"/>
                <w:szCs w:val="26"/>
                <w:rtl/>
              </w:rPr>
              <w:t>תיקון סעיף 65</w:t>
            </w:r>
          </w:p>
        </w:tc>
        <w:tc>
          <w:tcPr>
            <w:tcW w:w="514" w:type="dxa"/>
            <w:tcBorders>
              <w:top w:val="nil"/>
              <w:left w:val="nil"/>
              <w:bottom w:val="nil"/>
              <w:right w:val="nil"/>
            </w:tcBorders>
          </w:tcPr>
          <w:p w:rsidR="00000000" w:rsidRDefault="007216F7">
            <w:pPr>
              <w:spacing w:after="120" w:line="360" w:lineRule="auto"/>
              <w:rPr>
                <w:rFonts w:cs="David"/>
                <w:sz w:val="26"/>
                <w:szCs w:val="26"/>
              </w:rPr>
            </w:pPr>
            <w:r>
              <w:rPr>
                <w:rFonts w:cs="David"/>
                <w:sz w:val="26"/>
                <w:szCs w:val="26"/>
                <w:rtl/>
              </w:rPr>
              <w:t xml:space="preserve">1. </w:t>
            </w:r>
          </w:p>
        </w:tc>
        <w:tc>
          <w:tcPr>
            <w:tcW w:w="7201" w:type="dxa"/>
            <w:gridSpan w:val="4"/>
            <w:tcBorders>
              <w:top w:val="nil"/>
              <w:left w:val="nil"/>
              <w:bottom w:val="nil"/>
              <w:right w:val="nil"/>
            </w:tcBorders>
          </w:tcPr>
          <w:p w:rsidR="00000000" w:rsidRDefault="007216F7">
            <w:pPr>
              <w:spacing w:after="120" w:line="360" w:lineRule="auto"/>
              <w:jc w:val="both"/>
              <w:rPr>
                <w:rFonts w:cs="David"/>
                <w:sz w:val="26"/>
                <w:szCs w:val="26"/>
                <w:rtl/>
              </w:rPr>
            </w:pPr>
            <w:r>
              <w:rPr>
                <w:rFonts w:cs="David"/>
                <w:sz w:val="26"/>
                <w:szCs w:val="26"/>
                <w:rtl/>
              </w:rPr>
              <w:t>בחוק סדר הדין הפלילי [נוסח משולב],התשמ"ב-1982</w:t>
            </w:r>
            <w:r>
              <w:rPr>
                <w:rStyle w:val="aa"/>
                <w:rFonts w:cs="David"/>
                <w:sz w:val="26"/>
                <w:szCs w:val="26"/>
                <w:rtl/>
              </w:rPr>
              <w:footnoteReference w:id="1"/>
            </w:r>
            <w:r>
              <w:rPr>
                <w:rFonts w:cs="David"/>
                <w:sz w:val="26"/>
                <w:szCs w:val="26"/>
                <w:rtl/>
              </w:rPr>
              <w:t xml:space="preserve"> (להלן- החוק ה</w:t>
            </w:r>
            <w:r>
              <w:rPr>
                <w:rFonts w:cs="David"/>
                <w:sz w:val="26"/>
                <w:szCs w:val="26"/>
                <w:rtl/>
              </w:rPr>
              <w:t>עיקרי), בסעיף 65א , אחרי "תינתן ותימסר למתלונן" יבוא "ולמי שעל ההחלטה בעניינו הוגש הערר".</w:t>
            </w:r>
          </w:p>
        </w:tc>
      </w:tr>
      <w:tr w:rsidR="00000000">
        <w:tblPrEx>
          <w:tblCellMar>
            <w:top w:w="0" w:type="dxa"/>
            <w:bottom w:w="0" w:type="dxa"/>
          </w:tblCellMar>
        </w:tblPrEx>
        <w:trPr>
          <w:cantSplit/>
        </w:trPr>
        <w:tc>
          <w:tcPr>
            <w:tcW w:w="828" w:type="dxa"/>
            <w:tcBorders>
              <w:top w:val="nil"/>
              <w:left w:val="nil"/>
              <w:bottom w:val="nil"/>
              <w:right w:val="nil"/>
            </w:tcBorders>
          </w:tcPr>
          <w:p w:rsidR="00000000" w:rsidRDefault="007216F7">
            <w:pPr>
              <w:spacing w:after="120"/>
              <w:rPr>
                <w:rFonts w:cs="David"/>
                <w:sz w:val="26"/>
                <w:szCs w:val="26"/>
                <w:rtl/>
              </w:rPr>
            </w:pPr>
            <w:r>
              <w:rPr>
                <w:rFonts w:cs="David"/>
                <w:sz w:val="26"/>
                <w:szCs w:val="26"/>
                <w:rtl/>
              </w:rPr>
              <w:t>הוספת סעיף 65ב</w:t>
            </w:r>
          </w:p>
        </w:tc>
        <w:tc>
          <w:tcPr>
            <w:tcW w:w="514" w:type="dxa"/>
            <w:tcBorders>
              <w:top w:val="nil"/>
              <w:left w:val="nil"/>
              <w:bottom w:val="nil"/>
              <w:right w:val="nil"/>
            </w:tcBorders>
          </w:tcPr>
          <w:p w:rsidR="00000000" w:rsidRDefault="007216F7">
            <w:pPr>
              <w:spacing w:after="120" w:line="360" w:lineRule="auto"/>
              <w:rPr>
                <w:rFonts w:cs="David"/>
                <w:sz w:val="26"/>
                <w:szCs w:val="26"/>
                <w:rtl/>
              </w:rPr>
            </w:pPr>
            <w:r>
              <w:rPr>
                <w:rFonts w:cs="David"/>
                <w:sz w:val="26"/>
                <w:szCs w:val="26"/>
                <w:rtl/>
              </w:rPr>
              <w:t>2.</w:t>
            </w:r>
          </w:p>
        </w:tc>
        <w:tc>
          <w:tcPr>
            <w:tcW w:w="7201" w:type="dxa"/>
            <w:gridSpan w:val="4"/>
            <w:tcBorders>
              <w:top w:val="nil"/>
              <w:left w:val="nil"/>
              <w:bottom w:val="nil"/>
              <w:right w:val="nil"/>
            </w:tcBorders>
          </w:tcPr>
          <w:p w:rsidR="00000000" w:rsidRDefault="007216F7">
            <w:pPr>
              <w:spacing w:after="120" w:line="360" w:lineRule="auto"/>
              <w:jc w:val="both"/>
              <w:rPr>
                <w:rFonts w:cs="David"/>
                <w:sz w:val="26"/>
                <w:szCs w:val="26"/>
                <w:rtl/>
              </w:rPr>
            </w:pPr>
            <w:r>
              <w:rPr>
                <w:rFonts w:cs="David"/>
                <w:sz w:val="26"/>
                <w:szCs w:val="26"/>
                <w:rtl/>
              </w:rPr>
              <w:t>אחרי סעיף 65א לחוק העיקרי יבוא:</w:t>
            </w:r>
          </w:p>
        </w:tc>
      </w:tr>
      <w:tr w:rsidR="00000000">
        <w:tblPrEx>
          <w:tblCellMar>
            <w:top w:w="0" w:type="dxa"/>
            <w:bottom w:w="0" w:type="dxa"/>
          </w:tblCellMar>
        </w:tblPrEx>
        <w:trPr>
          <w:cantSplit/>
        </w:trPr>
        <w:tc>
          <w:tcPr>
            <w:tcW w:w="828" w:type="dxa"/>
            <w:tcBorders>
              <w:top w:val="nil"/>
              <w:left w:val="nil"/>
              <w:bottom w:val="nil"/>
              <w:right w:val="nil"/>
            </w:tcBorders>
          </w:tcPr>
          <w:p w:rsidR="00000000" w:rsidRDefault="007216F7">
            <w:pPr>
              <w:spacing w:after="120"/>
              <w:rPr>
                <w:rFonts w:cs="David"/>
                <w:sz w:val="26"/>
                <w:szCs w:val="26"/>
                <w:rtl/>
              </w:rPr>
            </w:pPr>
          </w:p>
        </w:tc>
        <w:tc>
          <w:tcPr>
            <w:tcW w:w="514" w:type="dxa"/>
            <w:tcBorders>
              <w:top w:val="nil"/>
              <w:left w:val="nil"/>
              <w:bottom w:val="nil"/>
              <w:right w:val="nil"/>
            </w:tcBorders>
          </w:tcPr>
          <w:p w:rsidR="00000000" w:rsidRDefault="007216F7">
            <w:pPr>
              <w:spacing w:after="120" w:line="360" w:lineRule="auto"/>
              <w:rPr>
                <w:rFonts w:cs="David"/>
                <w:sz w:val="26"/>
                <w:szCs w:val="26"/>
                <w:rtl/>
              </w:rPr>
            </w:pPr>
          </w:p>
        </w:tc>
        <w:tc>
          <w:tcPr>
            <w:tcW w:w="900" w:type="dxa"/>
            <w:tcBorders>
              <w:top w:val="nil"/>
              <w:left w:val="nil"/>
              <w:bottom w:val="nil"/>
              <w:right w:val="nil"/>
            </w:tcBorders>
          </w:tcPr>
          <w:p w:rsidR="00000000" w:rsidRDefault="007216F7">
            <w:pPr>
              <w:spacing w:after="120"/>
              <w:jc w:val="both"/>
              <w:rPr>
                <w:rFonts w:cs="David"/>
                <w:sz w:val="26"/>
                <w:szCs w:val="26"/>
                <w:rtl/>
              </w:rPr>
            </w:pPr>
            <w:r>
              <w:rPr>
                <w:rFonts w:cs="David"/>
                <w:sz w:val="26"/>
                <w:szCs w:val="26"/>
                <w:rtl/>
              </w:rPr>
              <w:t>"הודעה על הגשת ערר</w:t>
            </w:r>
          </w:p>
        </w:tc>
        <w:tc>
          <w:tcPr>
            <w:tcW w:w="541" w:type="dxa"/>
            <w:tcBorders>
              <w:top w:val="nil"/>
              <w:left w:val="nil"/>
              <w:bottom w:val="nil"/>
              <w:right w:val="nil"/>
            </w:tcBorders>
          </w:tcPr>
          <w:p w:rsidR="00000000" w:rsidRDefault="007216F7">
            <w:pPr>
              <w:spacing w:after="120" w:line="360" w:lineRule="auto"/>
              <w:jc w:val="both"/>
              <w:rPr>
                <w:rFonts w:cs="David"/>
                <w:sz w:val="26"/>
                <w:szCs w:val="26"/>
                <w:rtl/>
              </w:rPr>
            </w:pPr>
            <w:r>
              <w:rPr>
                <w:rFonts w:cs="David"/>
                <w:sz w:val="26"/>
                <w:szCs w:val="26"/>
                <w:rtl/>
              </w:rPr>
              <w:t>65ב.</w:t>
            </w:r>
          </w:p>
        </w:tc>
        <w:tc>
          <w:tcPr>
            <w:tcW w:w="540" w:type="dxa"/>
            <w:tcBorders>
              <w:top w:val="nil"/>
              <w:left w:val="nil"/>
              <w:bottom w:val="nil"/>
              <w:right w:val="nil"/>
            </w:tcBorders>
          </w:tcPr>
          <w:p w:rsidR="00000000" w:rsidRDefault="007216F7">
            <w:pPr>
              <w:spacing w:after="120" w:line="360" w:lineRule="auto"/>
              <w:jc w:val="both"/>
              <w:rPr>
                <w:rFonts w:cs="David"/>
                <w:sz w:val="26"/>
                <w:szCs w:val="26"/>
                <w:rtl/>
              </w:rPr>
            </w:pPr>
            <w:r>
              <w:rPr>
                <w:rFonts w:cs="David"/>
                <w:sz w:val="26"/>
                <w:szCs w:val="26"/>
                <w:rtl/>
              </w:rPr>
              <w:t>(א)</w:t>
            </w:r>
          </w:p>
        </w:tc>
        <w:tc>
          <w:tcPr>
            <w:tcW w:w="5220" w:type="dxa"/>
            <w:tcBorders>
              <w:top w:val="nil"/>
              <w:left w:val="nil"/>
              <w:bottom w:val="nil"/>
              <w:right w:val="nil"/>
            </w:tcBorders>
          </w:tcPr>
          <w:p w:rsidR="00000000" w:rsidRDefault="007216F7">
            <w:pPr>
              <w:spacing w:after="120" w:line="360" w:lineRule="auto"/>
              <w:jc w:val="both"/>
              <w:rPr>
                <w:rFonts w:cs="David"/>
                <w:sz w:val="26"/>
                <w:szCs w:val="26"/>
                <w:rtl/>
              </w:rPr>
            </w:pPr>
            <w:r>
              <w:rPr>
                <w:rFonts w:cs="David"/>
                <w:sz w:val="26"/>
                <w:szCs w:val="26"/>
                <w:rtl/>
              </w:rPr>
              <w:t xml:space="preserve">הוגש ערר, ימסרו המשטרה או התובע אליהם הוגש הערר, לפי עניין, הודעה בכתב על דבר הגשתו </w:t>
            </w:r>
            <w:r>
              <w:rPr>
                <w:rFonts w:cs="David"/>
                <w:sz w:val="26"/>
                <w:szCs w:val="26"/>
                <w:rtl/>
              </w:rPr>
              <w:t>לאדם שעל ההחלטה בעניינו הוגש הערר. ההודעה תימסר תוך שלושים יום מהמועד בו הוגש הערר ויצוין בה בעל הסמכות להחליט בערר.</w:t>
            </w:r>
          </w:p>
        </w:tc>
      </w:tr>
      <w:tr w:rsidR="00000000">
        <w:tblPrEx>
          <w:tblCellMar>
            <w:top w:w="0" w:type="dxa"/>
            <w:bottom w:w="0" w:type="dxa"/>
          </w:tblCellMar>
        </w:tblPrEx>
        <w:trPr>
          <w:cantSplit/>
        </w:trPr>
        <w:tc>
          <w:tcPr>
            <w:tcW w:w="828" w:type="dxa"/>
            <w:tcBorders>
              <w:top w:val="nil"/>
              <w:left w:val="nil"/>
              <w:bottom w:val="nil"/>
              <w:right w:val="nil"/>
            </w:tcBorders>
          </w:tcPr>
          <w:p w:rsidR="00000000" w:rsidRDefault="007216F7">
            <w:pPr>
              <w:spacing w:after="120"/>
              <w:rPr>
                <w:rFonts w:cs="David"/>
                <w:sz w:val="26"/>
                <w:szCs w:val="26"/>
                <w:rtl/>
              </w:rPr>
            </w:pPr>
          </w:p>
        </w:tc>
        <w:tc>
          <w:tcPr>
            <w:tcW w:w="514" w:type="dxa"/>
            <w:tcBorders>
              <w:top w:val="nil"/>
              <w:left w:val="nil"/>
              <w:bottom w:val="nil"/>
              <w:right w:val="nil"/>
            </w:tcBorders>
          </w:tcPr>
          <w:p w:rsidR="00000000" w:rsidRDefault="007216F7">
            <w:pPr>
              <w:spacing w:after="120" w:line="360" w:lineRule="auto"/>
              <w:rPr>
                <w:rFonts w:cs="David"/>
                <w:sz w:val="26"/>
                <w:szCs w:val="26"/>
                <w:rtl/>
              </w:rPr>
            </w:pPr>
          </w:p>
        </w:tc>
        <w:tc>
          <w:tcPr>
            <w:tcW w:w="900" w:type="dxa"/>
            <w:tcBorders>
              <w:top w:val="nil"/>
              <w:left w:val="nil"/>
              <w:bottom w:val="nil"/>
              <w:right w:val="nil"/>
            </w:tcBorders>
          </w:tcPr>
          <w:p w:rsidR="00000000" w:rsidRDefault="007216F7">
            <w:pPr>
              <w:spacing w:after="120" w:line="360" w:lineRule="auto"/>
              <w:jc w:val="both"/>
              <w:rPr>
                <w:rFonts w:cs="David"/>
                <w:sz w:val="26"/>
                <w:szCs w:val="26"/>
                <w:rtl/>
              </w:rPr>
            </w:pPr>
          </w:p>
        </w:tc>
        <w:tc>
          <w:tcPr>
            <w:tcW w:w="541" w:type="dxa"/>
            <w:tcBorders>
              <w:top w:val="nil"/>
              <w:left w:val="nil"/>
              <w:bottom w:val="nil"/>
              <w:right w:val="nil"/>
            </w:tcBorders>
          </w:tcPr>
          <w:p w:rsidR="00000000" w:rsidRDefault="007216F7">
            <w:pPr>
              <w:spacing w:after="120" w:line="360" w:lineRule="auto"/>
              <w:jc w:val="both"/>
              <w:rPr>
                <w:rFonts w:cs="David"/>
                <w:sz w:val="26"/>
                <w:szCs w:val="26"/>
                <w:rtl/>
              </w:rPr>
            </w:pPr>
          </w:p>
        </w:tc>
        <w:tc>
          <w:tcPr>
            <w:tcW w:w="540" w:type="dxa"/>
            <w:tcBorders>
              <w:top w:val="nil"/>
              <w:left w:val="nil"/>
              <w:bottom w:val="nil"/>
              <w:right w:val="nil"/>
            </w:tcBorders>
          </w:tcPr>
          <w:p w:rsidR="00000000" w:rsidRDefault="007216F7">
            <w:pPr>
              <w:spacing w:after="120" w:line="360" w:lineRule="auto"/>
              <w:jc w:val="both"/>
              <w:rPr>
                <w:rFonts w:cs="David"/>
                <w:sz w:val="26"/>
                <w:szCs w:val="26"/>
                <w:rtl/>
              </w:rPr>
            </w:pPr>
            <w:r>
              <w:rPr>
                <w:rFonts w:cs="David"/>
                <w:sz w:val="26"/>
                <w:szCs w:val="26"/>
                <w:rtl/>
              </w:rPr>
              <w:t>(ב)</w:t>
            </w:r>
          </w:p>
        </w:tc>
        <w:tc>
          <w:tcPr>
            <w:tcW w:w="5220" w:type="dxa"/>
            <w:tcBorders>
              <w:top w:val="nil"/>
              <w:left w:val="nil"/>
              <w:bottom w:val="nil"/>
              <w:right w:val="nil"/>
            </w:tcBorders>
          </w:tcPr>
          <w:p w:rsidR="00000000" w:rsidRDefault="007216F7">
            <w:pPr>
              <w:spacing w:after="120" w:line="360" w:lineRule="auto"/>
              <w:jc w:val="both"/>
              <w:rPr>
                <w:rFonts w:cs="David"/>
                <w:sz w:val="26"/>
                <w:szCs w:val="26"/>
                <w:rtl/>
              </w:rPr>
            </w:pPr>
            <w:r>
              <w:rPr>
                <w:rFonts w:cs="David"/>
                <w:sz w:val="26"/>
                <w:szCs w:val="26"/>
                <w:rtl/>
              </w:rPr>
              <w:t>החלטה בערר לפי סעיף 64 תימסר למתלונן ולמי שעל ההחלטה בעניינו הוגש הערר."</w:t>
            </w:r>
          </w:p>
        </w:tc>
      </w:tr>
    </w:tbl>
    <w:p w:rsidR="00000000" w:rsidRDefault="007216F7">
      <w:pPr>
        <w:spacing w:line="360" w:lineRule="auto"/>
        <w:rPr>
          <w:rFonts w:cs="David"/>
          <w:sz w:val="26"/>
          <w:szCs w:val="26"/>
          <w:rtl/>
        </w:rPr>
      </w:pPr>
    </w:p>
    <w:p w:rsidR="00000000" w:rsidRDefault="007216F7">
      <w:pPr>
        <w:spacing w:line="360" w:lineRule="auto"/>
        <w:jc w:val="center"/>
        <w:rPr>
          <w:rFonts w:cs="David"/>
          <w:sz w:val="26"/>
          <w:szCs w:val="26"/>
          <w:rtl/>
        </w:rPr>
      </w:pPr>
    </w:p>
    <w:p w:rsidR="00000000" w:rsidRDefault="007216F7">
      <w:pPr>
        <w:spacing w:line="360" w:lineRule="auto"/>
        <w:jc w:val="center"/>
        <w:rPr>
          <w:rFonts w:cs="David"/>
          <w:b/>
          <w:bCs/>
          <w:sz w:val="28"/>
          <w:szCs w:val="28"/>
          <w:rtl/>
        </w:rPr>
      </w:pPr>
      <w:r>
        <w:rPr>
          <w:rFonts w:cs="David"/>
          <w:b/>
          <w:bCs/>
          <w:sz w:val="28"/>
          <w:szCs w:val="28"/>
          <w:u w:val="single"/>
          <w:rtl/>
        </w:rPr>
        <w:t>דברי - הסבר</w:t>
      </w:r>
    </w:p>
    <w:p w:rsidR="00000000" w:rsidRDefault="007216F7">
      <w:pPr>
        <w:spacing w:line="360" w:lineRule="auto"/>
        <w:jc w:val="center"/>
        <w:rPr>
          <w:rFonts w:cs="David"/>
          <w:sz w:val="26"/>
          <w:szCs w:val="26"/>
          <w:rtl/>
        </w:rPr>
      </w:pPr>
    </w:p>
    <w:p w:rsidR="00000000" w:rsidRDefault="007216F7">
      <w:pPr>
        <w:spacing w:line="360" w:lineRule="auto"/>
        <w:jc w:val="both"/>
        <w:rPr>
          <w:rFonts w:cs="David"/>
          <w:sz w:val="26"/>
          <w:szCs w:val="26"/>
          <w:rtl/>
        </w:rPr>
      </w:pPr>
      <w:r>
        <w:rPr>
          <w:rFonts w:cs="David"/>
          <w:sz w:val="26"/>
          <w:szCs w:val="26"/>
          <w:rtl/>
        </w:rPr>
        <w:t>חוק סדר הדין הפלילי [נוסח משולב],תשמ"ב</w:t>
      </w:r>
      <w:r>
        <w:rPr>
          <w:rFonts w:cs="David"/>
          <w:sz w:val="26"/>
          <w:szCs w:val="26"/>
          <w:rtl/>
        </w:rPr>
        <w:t>-1982, אינו קובע חובה ליידע את מי שנחשד בעבירה והוחלט שלא להעמידו לדין- על כך שהוגש ערר על ידי המתלונן בעניינו. מצב דברים זה אינו תקין ומאפשר מצב בו אדם שנחשד בעבירה וקיבל הודעה על החלטת התביעה שלא להעמידו לדין לפי סעיף 62(ב), עשוי להתהלך, לעיתים במשך תקופ</w:t>
      </w:r>
      <w:r>
        <w:rPr>
          <w:rFonts w:cs="David"/>
          <w:sz w:val="26"/>
          <w:szCs w:val="26"/>
          <w:rtl/>
        </w:rPr>
        <w:t>ה ממושכת, בסברו כי תיק החקירה נגדו נסגר, מבלי לדעת כי הוגש ערר בעניינו, וכי ערר זה הועבר לבחינת ערכאת ערר הרשאית להורות להעמידו לדין.</w:t>
      </w:r>
    </w:p>
    <w:p w:rsidR="00000000" w:rsidRDefault="007216F7">
      <w:pPr>
        <w:spacing w:line="360" w:lineRule="auto"/>
        <w:jc w:val="both"/>
        <w:rPr>
          <w:rFonts w:cs="David"/>
          <w:sz w:val="26"/>
          <w:szCs w:val="26"/>
          <w:rtl/>
        </w:rPr>
      </w:pPr>
      <w:r>
        <w:rPr>
          <w:rFonts w:cs="David"/>
          <w:sz w:val="26"/>
          <w:szCs w:val="26"/>
          <w:rtl/>
        </w:rPr>
        <w:t>הצעת החוק נועדה לתקן ליקוי זה. לפי סעיף 65ב(1) המוצע, על הגשת הערר תימסר הודעה בכתב לאדם בעניינו הוגש הערר תוך שלושים יום,</w:t>
      </w:r>
      <w:r>
        <w:rPr>
          <w:rFonts w:cs="David"/>
          <w:sz w:val="26"/>
          <w:szCs w:val="26"/>
          <w:rtl/>
        </w:rPr>
        <w:t xml:space="preserve"> על ידי הגורם באמצעותו הוגש הערר. מוצע כי בהודעה זו יצוין גם בעל הסמכות להחליט בערר לפי סעיף 64 לחוק. </w:t>
      </w:r>
    </w:p>
    <w:p w:rsidR="00000000" w:rsidRDefault="007216F7">
      <w:pPr>
        <w:spacing w:line="360" w:lineRule="auto"/>
        <w:jc w:val="both"/>
        <w:rPr>
          <w:rFonts w:cs="David"/>
          <w:sz w:val="26"/>
          <w:szCs w:val="26"/>
          <w:rtl/>
        </w:rPr>
      </w:pPr>
      <w:r>
        <w:rPr>
          <w:rFonts w:cs="David"/>
          <w:sz w:val="26"/>
          <w:szCs w:val="26"/>
          <w:rtl/>
        </w:rPr>
        <w:lastRenderedPageBreak/>
        <w:t>יוער כי החוק כיום אינו קובע חובה למסור על החלטה בערר למתלונן, למעט בעבירות מין ואלימות מסוג פשע, לפי סעיף 65א. על כן, מוצע בסעיף 65ב (2) לקבוע כי החלטת ב</w:t>
      </w:r>
      <w:r>
        <w:rPr>
          <w:rFonts w:cs="David"/>
          <w:sz w:val="26"/>
          <w:szCs w:val="26"/>
          <w:rtl/>
        </w:rPr>
        <w:t xml:space="preserve">על הסמכות בערר תימסר למתלונן וכן למי שעל ההחלטה בעניינו הוגש הערר. </w:t>
      </w:r>
    </w:p>
    <w:p w:rsidR="00000000" w:rsidRDefault="007216F7">
      <w:pPr>
        <w:spacing w:line="360" w:lineRule="auto"/>
        <w:jc w:val="both"/>
        <w:rPr>
          <w:rFonts w:cs="David"/>
          <w:sz w:val="26"/>
          <w:szCs w:val="26"/>
          <w:rtl/>
        </w:rPr>
      </w:pPr>
      <w:r>
        <w:rPr>
          <w:rFonts w:cs="David"/>
          <w:sz w:val="26"/>
          <w:szCs w:val="26"/>
          <w:rtl/>
        </w:rPr>
        <w:t xml:space="preserve">כן מוצע לתקן את סעיף 65א, שעניינו מתן ומסירת החלטה בערר שעניינו עבירות מין או אלימות מסוג פשע, כך שייתיחס הן למתלונן והן למי שעל ההחלטה בעניינו הוגש הערר. </w:t>
      </w:r>
    </w:p>
    <w:p w:rsidR="00000000" w:rsidRDefault="007216F7">
      <w:pPr>
        <w:spacing w:line="360" w:lineRule="auto"/>
        <w:jc w:val="both"/>
        <w:rPr>
          <w:rFonts w:cs="David"/>
          <w:sz w:val="26"/>
          <w:szCs w:val="26"/>
          <w:rtl/>
        </w:rPr>
      </w:pPr>
      <w:r>
        <w:rPr>
          <w:rFonts w:cs="David"/>
          <w:sz w:val="26"/>
          <w:szCs w:val="26"/>
          <w:rtl/>
        </w:rPr>
        <w:t>הגשת ערר על החלטה שלא להעמיד לדי</w:t>
      </w:r>
      <w:r>
        <w:rPr>
          <w:rFonts w:cs="David"/>
          <w:sz w:val="26"/>
          <w:szCs w:val="26"/>
          <w:rtl/>
        </w:rPr>
        <w:t xml:space="preserve">ן והחלטת בעל הסמכות בערר מהוות צמתים מרכזיים בהליך הפלילי המצדיקים מתן הודעה בכתב על כך לחשוד. מסירת הודעות כאמור משתלבת ומשלימה את ההוראות הקיימות לעניין יידוע על העברת חומר חקירה לתובע בעבירת פשע (סעיף 60א) ומתן הודעה לחשוד (סעיף 62א) ולמתלונן (סעיף 63) </w:t>
      </w:r>
      <w:r>
        <w:rPr>
          <w:rFonts w:cs="David"/>
          <w:sz w:val="26"/>
          <w:szCs w:val="26"/>
          <w:rtl/>
        </w:rPr>
        <w:t>על החלטה שלא להעמיד לדין.</w:t>
      </w:r>
    </w:p>
    <w:p w:rsidR="00000000" w:rsidRDefault="007216F7">
      <w:pPr>
        <w:spacing w:line="360" w:lineRule="auto"/>
        <w:jc w:val="both"/>
        <w:rPr>
          <w:rFonts w:cs="David"/>
          <w:sz w:val="26"/>
          <w:szCs w:val="26"/>
          <w:rtl/>
        </w:rPr>
      </w:pPr>
      <w:r>
        <w:rPr>
          <w:rFonts w:cs="David"/>
          <w:sz w:val="26"/>
          <w:szCs w:val="26"/>
          <w:rtl/>
        </w:rPr>
        <w:t>----------------</w:t>
      </w:r>
    </w:p>
    <w:p w:rsidR="00000000" w:rsidRDefault="007216F7">
      <w:pPr>
        <w:spacing w:line="360" w:lineRule="auto"/>
        <w:jc w:val="both"/>
        <w:rPr>
          <w:rFonts w:cs="David"/>
          <w:sz w:val="26"/>
          <w:szCs w:val="26"/>
          <w:rtl/>
        </w:rPr>
      </w:pPr>
      <w:r>
        <w:rPr>
          <w:rFonts w:cs="David"/>
          <w:sz w:val="26"/>
          <w:szCs w:val="26"/>
          <w:rtl/>
        </w:rPr>
        <w:t>הוגשה ליו"ר הכנסת והסגנים</w:t>
      </w:r>
    </w:p>
    <w:p w:rsidR="00000000" w:rsidRDefault="007216F7">
      <w:pPr>
        <w:spacing w:line="360" w:lineRule="auto"/>
        <w:jc w:val="both"/>
        <w:rPr>
          <w:rFonts w:cs="David"/>
          <w:sz w:val="26"/>
          <w:szCs w:val="26"/>
          <w:rtl/>
        </w:rPr>
      </w:pPr>
      <w:r>
        <w:rPr>
          <w:rFonts w:cs="David"/>
          <w:sz w:val="26"/>
          <w:szCs w:val="26"/>
          <w:rtl/>
        </w:rPr>
        <w:t>והונחה על שולחן הכנסת ביום</w:t>
      </w:r>
    </w:p>
    <w:p w:rsidR="00000000" w:rsidRDefault="007216F7">
      <w:pPr>
        <w:spacing w:line="360" w:lineRule="auto"/>
        <w:jc w:val="both"/>
        <w:rPr>
          <w:rFonts w:cs="David"/>
          <w:sz w:val="26"/>
          <w:szCs w:val="26"/>
          <w:rtl/>
        </w:rPr>
      </w:pPr>
      <w:r>
        <w:rPr>
          <w:rFonts w:cs="David"/>
          <w:sz w:val="26"/>
          <w:szCs w:val="26"/>
          <w:rtl/>
        </w:rPr>
        <w:t>א בחשון התשס"ז - 23.10.06</w:t>
      </w:r>
    </w:p>
    <w:p w:rsidR="00000000" w:rsidRDefault="007216F7">
      <w:pPr>
        <w:spacing w:line="360" w:lineRule="auto"/>
        <w:jc w:val="both"/>
        <w:rPr>
          <w:rFonts w:cs="David"/>
          <w:sz w:val="26"/>
          <w:szCs w:val="26"/>
          <w:rtl/>
        </w:rPr>
      </w:pPr>
    </w:p>
    <w:p w:rsidR="00000000" w:rsidRDefault="007216F7">
      <w:pPr>
        <w:pStyle w:val="a3"/>
        <w:spacing w:line="360" w:lineRule="auto"/>
        <w:jc w:val="both"/>
        <w:rPr>
          <w:rFonts w:cs="David"/>
          <w:u w:val="none"/>
        </w:rPr>
      </w:pPr>
    </w:p>
    <w:p w:rsidR="00000000" w:rsidRDefault="007216F7">
      <w:pPr>
        <w:jc w:val="both"/>
        <w:rPr>
          <w:rFonts w:cs="David"/>
          <w:b/>
          <w:bCs/>
          <w:sz w:val="28"/>
          <w:szCs w:val="28"/>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16F7">
      <w:r>
        <w:separator/>
      </w:r>
    </w:p>
  </w:endnote>
  <w:endnote w:type="continuationSeparator" w:id="0">
    <w:p w:rsidR="00000000" w:rsidRDefault="00721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16F7">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16F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16F7">
      <w:r>
        <w:separator/>
      </w:r>
    </w:p>
  </w:footnote>
  <w:footnote w:type="continuationSeparator" w:id="0">
    <w:p w:rsidR="00000000" w:rsidRDefault="007216F7">
      <w:r>
        <w:continuationSeparator/>
      </w:r>
    </w:p>
  </w:footnote>
  <w:footnote w:id="1">
    <w:p w:rsidR="00000000" w:rsidRDefault="007216F7">
      <w:pPr>
        <w:pStyle w:val="a8"/>
      </w:pPr>
      <w:r>
        <w:rPr>
          <w:rStyle w:val="aa"/>
          <w:rFonts w:cs="David"/>
        </w:rPr>
        <w:footnoteRef/>
      </w:r>
      <w:r>
        <w:rPr>
          <w:rFonts w:cs="David"/>
          <w:rtl/>
        </w:rPr>
        <w:t xml:space="preserve"> ס"ח התשמ"ב, עמ' 41.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16F7">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7216F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16F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988éöç÷ ìåé - äåãòä òì äâùú òøø.doc"/>
    <w:docVar w:name="StartMode" w:val="2"/>
  </w:docVars>
  <w:rsids>
    <w:rsidRoot w:val="007216F7"/>
    <w:rsid w:val="00721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jc w:val="center"/>
      <w:outlineLvl w:val="1"/>
    </w:pPr>
    <w:rPr>
      <w:rFonts w:eastAsia="Times New Roman"/>
      <w:sz w:val="32"/>
      <w:szCs w:val="3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footer"/>
    <w:basedOn w:val="a"/>
    <w:link w:val="ac"/>
    <w:uiPriority w:val="99"/>
    <w:pPr>
      <w:tabs>
        <w:tab w:val="center" w:pos="4153"/>
        <w:tab w:val="right" w:pos="8306"/>
      </w:tabs>
    </w:pPr>
  </w:style>
  <w:style w:type="character" w:customStyle="1" w:styleId="ac">
    <w:name w:val="כותרת תחתונה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353</Words>
  <Characters>1766</Characters>
  <Application>Microsoft Office Word</Application>
  <DocSecurity>0</DocSecurity>
  <Lines>14</Lines>
  <Paragraphs>4</Paragraphs>
  <ScaleCrop>false</ScaleCrop>
  <Company>knesset</Company>
  <LinksUpToDate>false</LinksUpToDate>
  <CharactersWithSpaces>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(תיקון הודעה על הגשת ערר), התשס"ז-2006</dc:title>
  <dc:subject/>
  <dc:creator>Knesset</dc:creator>
  <cp:keywords/>
  <dc:description/>
  <cp:lastModifiedBy>שמואל כוכב</cp:lastModifiedBy>
  <cp:revision>2</cp:revision>
  <cp:lastPrinted>2006-10-22T07:43:00Z</cp:lastPrinted>
  <dcterms:created xsi:type="dcterms:W3CDTF">2015-02-03T17:01:00Z</dcterms:created>
  <dcterms:modified xsi:type="dcterms:W3CDTF">2015-02-03T17:01:00Z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יצחק לוי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05030806</vt:lpwstr>
  </property>
  <property fmtid="{D5CDD505-2E9C-101B-9397-08002B2CF9AE}" pid="10" name="מספר הצעת חוק למיון">
    <vt:lpwstr>1596</vt:lpwstr>
  </property>
  <property fmtid="{D5CDD505-2E9C-101B-9397-08002B2CF9AE}" pid="11" name="SDDocDate">
    <vt:lpwstr>2006-10-17T00:00:00Z</vt:lpwstr>
  </property>
  <property fmtid="{D5CDD505-2E9C-101B-9397-08002B2CF9AE}" pid="12" name="SDHebDate">
    <vt:lpwstr>כ"ה בתשרי, התשס"ז</vt:lpwstr>
  </property>
  <property fmtid="{D5CDD505-2E9C-101B-9397-08002B2CF9AE}" pid="13" name="SDCategories">
    <vt:lpwstr>:דף הבית:נושאים:חקיקה:נוסח לדיון מוקדם;#</vt:lpwstr>
  </property>
  <property fmtid="{D5CDD505-2E9C-101B-9397-08002B2CF9AE}" pid="14" name="תאריך הנחה">
    <vt:lpwstr/>
  </property>
  <property fmtid="{D5CDD505-2E9C-101B-9397-08002B2CF9AE}" pid="15" name="Vaada">
    <vt:lpwstr/>
  </property>
  <property fmtid="{D5CDD505-2E9C-101B-9397-08002B2CF9AE}" pid="16" name="HebrewDate">
    <vt:lpwstr/>
  </property>
  <property fmtid="{D5CDD505-2E9C-101B-9397-08002B2CF9AE}" pid="17" name="SDAuthor">
    <vt:lpwstr>עדי טייכר</vt:lpwstr>
  </property>
  <property fmtid="{D5CDD505-2E9C-101B-9397-08002B2CF9AE}" pid="18" name="MechaberMismach">
    <vt:lpwstr/>
  </property>
  <property fmtid="{D5CDD505-2E9C-101B-9397-08002B2CF9AE}" pid="19" name="MisHatzaatChok">
    <vt:lpwstr>פ/1596/17</vt:lpwstr>
  </property>
  <property fmtid="{D5CDD505-2E9C-101B-9397-08002B2CF9AE}" pid="20" name="SDRemark">
    <vt:lpwstr/>
  </property>
  <property fmtid="{D5CDD505-2E9C-101B-9397-08002B2CF9AE}" pid="21" name="SDOfflineTo">
    <vt:lpwstr/>
  </property>
  <property fmtid="{D5CDD505-2E9C-101B-9397-08002B2CF9AE}" pid="22" name="SDDistList">
    <vt:lpwstr/>
  </property>
  <property fmtid="{D5CDD505-2E9C-101B-9397-08002B2CF9AE}" pid="23" name="SDDistDate">
    <vt:lpwstr/>
  </property>
  <property fmtid="{D5CDD505-2E9C-101B-9397-08002B2CF9AE}" pid="24" name="SDOriginalID">
    <vt:lpwstr/>
  </property>
  <property fmtid="{D5CDD505-2E9C-101B-9397-08002B2CF9AE}" pid="25" name="SDSenderName">
    <vt:lpwstr/>
  </property>
  <property fmtid="{D5CDD505-2E9C-101B-9397-08002B2CF9AE}" pid="26" name="SDToList">
    <vt:lpwstr/>
  </property>
  <property fmtid="{D5CDD505-2E9C-101B-9397-08002B2CF9AE}" pid="27" name="SDCCList">
    <vt:lpwstr/>
  </property>
  <property fmtid="{D5CDD505-2E9C-101B-9397-08002B2CF9AE}" pid="28" name="STHasReminders">
    <vt:lpwstr>0</vt:lpwstr>
  </property>
  <property fmtid="{D5CDD505-2E9C-101B-9397-08002B2CF9AE}" pid="29" name="SDLink">
    <vt:lpwstr>, </vt:lpwstr>
  </property>
  <property fmtid="{D5CDD505-2E9C-101B-9397-08002B2CF9AE}" pid="30" name="Num_Gim1">
    <vt:lpwstr/>
  </property>
  <property fmtid="{D5CDD505-2E9C-101B-9397-08002B2CF9AE}" pid="31" name="NoseA">
    <vt:lpwstr/>
  </property>
  <property fmtid="{D5CDD505-2E9C-101B-9397-08002B2CF9AE}" pid="32" name="NoseB">
    <vt:lpwstr/>
  </property>
  <property fmtid="{D5CDD505-2E9C-101B-9397-08002B2CF9AE}" pid="33" name="knesset_number">
    <vt:lpwstr/>
  </property>
  <property fmtid="{D5CDD505-2E9C-101B-9397-08002B2CF9AE}" pid="34" name="ValidFrom">
    <vt:lpwstr/>
  </property>
  <property fmtid="{D5CDD505-2E9C-101B-9397-08002B2CF9AE}" pid="35" name="ValidUntill">
    <vt:lpwstr/>
  </property>
  <property fmtid="{D5CDD505-2E9C-101B-9397-08002B2CF9AE}" pid="36" name="To1">
    <vt:lpwstr/>
  </property>
  <property fmtid="{D5CDD505-2E9C-101B-9397-08002B2CF9AE}" pid="37" name="From">
    <vt:lpwstr/>
  </property>
  <property fmtid="{D5CDD505-2E9C-101B-9397-08002B2CF9AE}" pid="38" name="body">
    <vt:lpwstr/>
  </property>
</Properties>
</file>