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4742">
      <w:pPr>
        <w:pStyle w:val="a9"/>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894742">
      <w:pPr>
        <w:spacing w:line="360" w:lineRule="auto"/>
        <w:rPr>
          <w:rFonts w:cs="David"/>
          <w:sz w:val="26"/>
          <w:szCs w:val="26"/>
          <w:rtl/>
        </w:rPr>
      </w:pPr>
    </w:p>
    <w:tbl>
      <w:tblPr>
        <w:bidiVisual/>
        <w:tblW w:w="0" w:type="auto"/>
        <w:tblInd w:w="4385" w:type="dxa"/>
        <w:tblBorders>
          <w:bottom w:val="single" w:sz="4" w:space="0" w:color="auto"/>
        </w:tblBorders>
        <w:tblLook w:val="0000" w:firstRow="0" w:lastRow="0" w:firstColumn="0" w:lastColumn="0" w:noHBand="0" w:noVBand="0"/>
      </w:tblPr>
      <w:tblGrid>
        <w:gridCol w:w="4137"/>
      </w:tblGrid>
      <w:tr w:rsidR="00000000">
        <w:tblPrEx>
          <w:tblCellMar>
            <w:top w:w="0" w:type="dxa"/>
            <w:bottom w:w="0" w:type="dxa"/>
          </w:tblCellMar>
        </w:tblPrEx>
        <w:tc>
          <w:tcPr>
            <w:tcW w:w="4137" w:type="dxa"/>
            <w:tcBorders>
              <w:top w:val="nil"/>
              <w:left w:val="nil"/>
              <w:bottom w:val="single" w:sz="4" w:space="0" w:color="auto"/>
              <w:right w:val="nil"/>
            </w:tcBorders>
          </w:tcPr>
          <w:p w:rsidR="00000000" w:rsidRDefault="00894742">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חברת הכנסת </w:t>
            </w:r>
            <w:r>
              <w:rPr>
                <w:rFonts w:cs="David"/>
                <w:b/>
                <w:bCs/>
                <w:sz w:val="26"/>
                <w:szCs w:val="26"/>
                <w:rtl/>
              </w:rPr>
              <w:t>אורית נוקד</w:t>
            </w:r>
            <w:r>
              <w:rPr>
                <w:rFonts w:cs="David"/>
                <w:sz w:val="26"/>
                <w:szCs w:val="26"/>
                <w:rtl/>
              </w:rPr>
              <w:t xml:space="preserve"> </w:t>
            </w:r>
          </w:p>
        </w:tc>
      </w:tr>
    </w:tbl>
    <w:p w:rsidR="00000000" w:rsidRDefault="00894742">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32"/>
          <w:szCs w:val="32"/>
          <w:rtl/>
        </w:rPr>
        <w:t xml:space="preserve">               </w:t>
      </w:r>
      <w:r>
        <w:rPr>
          <w:rFonts w:cs="David"/>
          <w:b/>
          <w:bCs/>
          <w:rtl/>
        </w:rPr>
        <w:t>פ/1774/17</w:t>
      </w:r>
    </w:p>
    <w:p w:rsidR="00000000" w:rsidRDefault="00894742">
      <w:pPr>
        <w:spacing w:line="360" w:lineRule="auto"/>
        <w:rPr>
          <w:rFonts w:cs="David"/>
          <w:sz w:val="26"/>
          <w:szCs w:val="26"/>
          <w:rtl/>
        </w:rPr>
      </w:pPr>
    </w:p>
    <w:p w:rsidR="00000000" w:rsidRDefault="00894742">
      <w:pPr>
        <w:spacing w:line="360" w:lineRule="auto"/>
        <w:jc w:val="center"/>
        <w:rPr>
          <w:rFonts w:cs="David"/>
          <w:b/>
          <w:bCs/>
          <w:sz w:val="28"/>
          <w:szCs w:val="28"/>
          <w:rtl/>
        </w:rPr>
      </w:pPr>
      <w:r>
        <w:rPr>
          <w:rFonts w:cs="David"/>
          <w:b/>
          <w:bCs/>
          <w:sz w:val="28"/>
          <w:szCs w:val="28"/>
          <w:rtl/>
        </w:rPr>
        <w:t>הצעת חוק הביטוח הלאומי (תיקון - דמי אבטלה לעצמאיים), התשס"ז-2006</w:t>
      </w:r>
    </w:p>
    <w:p w:rsidR="00000000" w:rsidRDefault="00894742">
      <w:pPr>
        <w:spacing w:line="360" w:lineRule="auto"/>
        <w:rPr>
          <w:rFonts w:cs="David"/>
          <w:sz w:val="26"/>
          <w:szCs w:val="26"/>
        </w:rPr>
      </w:pPr>
    </w:p>
    <w:tbl>
      <w:tblPr>
        <w:bidiVisual/>
        <w:tblW w:w="0" w:type="auto"/>
        <w:tblCellMar>
          <w:left w:w="57" w:type="dxa"/>
          <w:right w:w="57" w:type="dxa"/>
        </w:tblCellMar>
        <w:tblLook w:val="0000" w:firstRow="0" w:lastRow="0" w:firstColumn="0" w:lastColumn="0" w:noHBand="0" w:noVBand="0"/>
      </w:tblPr>
      <w:tblGrid>
        <w:gridCol w:w="1117"/>
        <w:gridCol w:w="511"/>
        <w:gridCol w:w="567"/>
        <w:gridCol w:w="567"/>
        <w:gridCol w:w="57"/>
        <w:gridCol w:w="144"/>
        <w:gridCol w:w="423"/>
        <w:gridCol w:w="117"/>
        <w:gridCol w:w="4917"/>
      </w:tblGrid>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הוספת סעיף 28ג</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1.</w:t>
            </w:r>
          </w:p>
        </w:tc>
        <w:tc>
          <w:tcPr>
            <w:tcW w:w="6792" w:type="dxa"/>
            <w:gridSpan w:val="7"/>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בחוק הביטוח הלאומי [נוסח משולב], התשנ"ה-1995</w:t>
            </w:r>
            <w:r>
              <w:rPr>
                <w:rStyle w:val="a8"/>
                <w:rFonts w:cs="David"/>
                <w:sz w:val="26"/>
                <w:szCs w:val="26"/>
                <w:rtl/>
              </w:rPr>
              <w:footnoteReference w:id="1"/>
            </w:r>
            <w:r>
              <w:rPr>
                <w:rFonts w:cs="David"/>
                <w:sz w:val="26"/>
                <w:szCs w:val="26"/>
                <w:rtl/>
              </w:rPr>
              <w:t xml:space="preserve"> (להלן -  "חוק הביטוח הלאומי"), אחרי סעיף 28ב יבוא:</w:t>
            </w:r>
          </w:p>
          <w:p w:rsidR="00000000" w:rsidRDefault="00894742">
            <w:pPr>
              <w:spacing w:after="120" w:line="360" w:lineRule="auto"/>
              <w:jc w:val="both"/>
            </w:pPr>
            <w:r>
              <w:rPr>
                <w:rFonts w:cs="David"/>
                <w:sz w:val="26"/>
                <w:szCs w:val="26"/>
                <w:rtl/>
              </w:rPr>
              <w:t xml:space="preserve">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1191" w:type="dxa"/>
            <w:gridSpan w:val="3"/>
            <w:tcBorders>
              <w:top w:val="nil"/>
              <w:left w:val="nil"/>
              <w:bottom w:val="nil"/>
              <w:right w:val="nil"/>
            </w:tcBorders>
          </w:tcPr>
          <w:p w:rsidR="00000000" w:rsidRDefault="00894742">
            <w:pPr>
              <w:spacing w:after="120" w:line="360" w:lineRule="auto"/>
              <w:rPr>
                <w:rFonts w:cs="David"/>
                <w:sz w:val="26"/>
                <w:szCs w:val="26"/>
                <w:rtl/>
              </w:rPr>
            </w:pPr>
            <w:r>
              <w:rPr>
                <w:rFonts w:cs="David"/>
                <w:sz w:val="26"/>
                <w:szCs w:val="26"/>
                <w:rtl/>
              </w:rPr>
              <w:t>"ענף ביטוח אבטלה לעצמאים</w:t>
            </w:r>
          </w:p>
          <w:p w:rsidR="00000000" w:rsidRDefault="00894742">
            <w:pPr>
              <w:spacing w:after="120" w:line="360" w:lineRule="auto"/>
              <w:rPr>
                <w:rFonts w:cs="David"/>
                <w:sz w:val="26"/>
                <w:szCs w:val="26"/>
              </w:rPr>
            </w:pPr>
          </w:p>
        </w:tc>
        <w:tc>
          <w:tcPr>
            <w:tcW w:w="567" w:type="dxa"/>
            <w:gridSpan w:val="2"/>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28ג.</w:t>
            </w:r>
          </w:p>
        </w:tc>
        <w:tc>
          <w:tcPr>
            <w:tcW w:w="5034" w:type="dxa"/>
            <w:gridSpan w:val="2"/>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ביטוח אבטלה לעצמאים ינוהל כענף ביטוח נפרד."</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תיקון סעיף 158</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2.</w:t>
            </w:r>
          </w:p>
        </w:tc>
        <w:tc>
          <w:tcPr>
            <w:tcW w:w="6792" w:type="dxa"/>
            <w:gridSpan w:val="7"/>
            <w:tcBorders>
              <w:top w:val="nil"/>
              <w:left w:val="nil"/>
              <w:bottom w:val="nil"/>
              <w:right w:val="nil"/>
            </w:tcBorders>
          </w:tcPr>
          <w:p w:rsidR="00000000" w:rsidRDefault="00894742">
            <w:pPr>
              <w:spacing w:after="120" w:line="360" w:lineRule="auto"/>
              <w:jc w:val="both"/>
            </w:pPr>
            <w:r>
              <w:rPr>
                <w:rFonts w:cs="David"/>
                <w:sz w:val="26"/>
                <w:szCs w:val="26"/>
                <w:rtl/>
              </w:rPr>
              <w:t>בחוק הביטוח הלאומי, בסעיף 158 -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(א)</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בהגדרה "מבוטח", בסוף פסקה (1) יבוא "או עובד עצמאי החייב בתש</w:t>
            </w:r>
            <w:r>
              <w:rPr>
                <w:rFonts w:cs="David"/>
                <w:sz w:val="26"/>
                <w:szCs w:val="26"/>
                <w:rtl/>
              </w:rPr>
              <w:t>לום דמי ביטוח בעד עצמו";</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(ב)</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אחרי ההגדרה "עובד" יבוא –</w:t>
            </w:r>
          </w:p>
          <w:p w:rsidR="00000000" w:rsidRDefault="00894742">
            <w:pPr>
              <w:spacing w:after="120" w:line="360" w:lineRule="auto"/>
              <w:jc w:val="both"/>
              <w:rPr>
                <w:rFonts w:cs="David"/>
                <w:sz w:val="26"/>
                <w:szCs w:val="26"/>
              </w:rPr>
            </w:pPr>
            <w:r>
              <w:rPr>
                <w:rFonts w:cs="David"/>
                <w:sz w:val="26"/>
                <w:szCs w:val="26"/>
                <w:rtl/>
              </w:rPr>
              <w:t>""עובד עצמאי"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(1)</w:t>
            </w:r>
          </w:p>
        </w:tc>
        <w:tc>
          <w:tcPr>
            <w:tcW w:w="5658" w:type="dxa"/>
            <w:gridSpan w:val="5"/>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לעניין שנת מס פלונית או חלק ממנה - מי שעסק באותה תקופה בעסק או במשלח יד שלא כעובד שכיר;</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(2)</w:t>
            </w:r>
          </w:p>
        </w:tc>
        <w:tc>
          <w:tcPr>
            <w:tcW w:w="5658" w:type="dxa"/>
            <w:gridSpan w:val="5"/>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לעניין שנת מס פלונית או חלק ממנה - מי שהיה באותה תקופה בעל שליטה בחברה כמשמעות</w:t>
            </w:r>
            <w:r>
              <w:rPr>
                <w:rFonts w:cs="David"/>
                <w:sz w:val="26"/>
                <w:szCs w:val="26"/>
                <w:rtl/>
              </w:rPr>
              <w:t>ו בסעיף 268 לחוק החברות, התשנ"ט–1999</w:t>
            </w:r>
            <w:r>
              <w:rPr>
                <w:rStyle w:val="a8"/>
                <w:rFonts w:cs="David"/>
                <w:sz w:val="26"/>
                <w:szCs w:val="26"/>
                <w:rtl/>
              </w:rPr>
              <w:footnoteReference w:id="2"/>
            </w:r>
            <w:r>
              <w:rPr>
                <w:rFonts w:cs="David"/>
                <w:sz w:val="26"/>
                <w:szCs w:val="26"/>
                <w:rtl/>
              </w:rPr>
              <w:t>."</w:t>
            </w: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תיקון סעיף 160</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3.</w:t>
            </w:r>
          </w:p>
        </w:tc>
        <w:tc>
          <w:tcPr>
            <w:tcW w:w="6792" w:type="dxa"/>
            <w:gridSpan w:val="7"/>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160 לחוק הביטוח הלאומי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(א)</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קטן (א), בסופו יבוא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"לעניין עובד עצמאי, "מובטל" - ובלבד שמסר תצהיר מאושר על ידי עורך דין או אישור על ידי רואה חשבון שחדל לח</w:t>
            </w:r>
            <w:r>
              <w:rPr>
                <w:rFonts w:cs="David"/>
                <w:sz w:val="26"/>
                <w:szCs w:val="26"/>
                <w:rtl/>
              </w:rPr>
              <w:t>לוטין לעסוק בעסקו או במשלח ידו או שעמד בתנאים חלופיים שיקבע השר;</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לעניין בעל שליטה, "מובטל" - ובלבד שמסר תצהיר מאושר על ידי עורך דין או אישור על ידי רואה חשבון שהחברה חדלה לחלוטין מפעילותה או שעמד בתנאים חלופיים שיקבע השר".</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(ב)</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אחרי סעיף קטן (א) יבוא</w:t>
            </w:r>
            <w:r>
              <w:rPr>
                <w:rFonts w:cs="David"/>
                <w:sz w:val="26"/>
                <w:szCs w:val="26"/>
                <w:rtl/>
              </w:rPr>
              <w:t>-</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768" w:type="dxa"/>
            <w:gridSpan w:val="3"/>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"(א1)</w:t>
            </w:r>
          </w:p>
        </w:tc>
        <w:tc>
          <w:tcPr>
            <w:tcW w:w="5457" w:type="dxa"/>
            <w:gridSpan w:val="3"/>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השר, באישור ועדת העבודה והרווחה והבריאות של הכנסת, רשאי לקבוע תנאים לגבי זכאותו של מבוטח שהוא עובד עצמאי כמשמעותו בסעיף 158."</w:t>
            </w: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תיקון סעיף 170</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4.</w:t>
            </w:r>
          </w:p>
        </w:tc>
        <w:tc>
          <w:tcPr>
            <w:tcW w:w="6792" w:type="dxa"/>
            <w:gridSpan w:val="7"/>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170 לחוק הביטוח הלאומי:</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(1)</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קטן (א), במקום המילים "שאינו חייל" יבוא "שהוא עובד ואינ</w:t>
            </w:r>
            <w:r>
              <w:rPr>
                <w:rFonts w:cs="David"/>
                <w:sz w:val="26"/>
                <w:szCs w:val="26"/>
                <w:rtl/>
              </w:rPr>
              <w:t>ו חייל".</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(2)</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אחרי סעיף קטן (א) יבוא:</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768" w:type="dxa"/>
            <w:gridSpan w:val="3"/>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"(א1)</w:t>
            </w:r>
          </w:p>
        </w:tc>
        <w:tc>
          <w:tcPr>
            <w:tcW w:w="5457" w:type="dxa"/>
            <w:gridSpan w:val="3"/>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לגבי מובטל שהוא עובד עצמאי, יחושב השכר היומי הממוצע, שלפי ההכנסה שממנה מגיעים דמי ביטוח אבטלה, בתקופה של עשרים וארבעה החודשים האחרונים שבעדם שולמו דמי ביטוח אבטלה לפני התאריך הקובע; בגין חודש בו לא הייתה הכ</w:t>
            </w:r>
            <w:r>
              <w:rPr>
                <w:rFonts w:cs="David"/>
                <w:sz w:val="26"/>
                <w:szCs w:val="26"/>
                <w:rtl/>
              </w:rPr>
              <w:t>נסה, תחושב ההכנסה  כשכר מינימום כמשמעותו בחוק  שכר  מינימום,  התשמ"ז-1987</w:t>
            </w:r>
            <w:r>
              <w:rPr>
                <w:rStyle w:val="a8"/>
                <w:rFonts w:cs="David"/>
                <w:sz w:val="26"/>
                <w:szCs w:val="26"/>
                <w:rtl/>
              </w:rPr>
              <w:footnoteReference w:id="3"/>
            </w:r>
            <w:r>
              <w:rPr>
                <w:rFonts w:cs="David"/>
                <w:sz w:val="26"/>
                <w:szCs w:val="26"/>
                <w:rtl/>
              </w:rPr>
              <w:t>."</w:t>
            </w: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הוספת סעיף 171ב</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5.</w:t>
            </w:r>
          </w:p>
        </w:tc>
        <w:tc>
          <w:tcPr>
            <w:tcW w:w="6792" w:type="dxa"/>
            <w:gridSpan w:val="7"/>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אחרי סעיף 171א לחוק העיקרי יבוא:</w:t>
            </w: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1191" w:type="dxa"/>
            <w:gridSpan w:val="3"/>
            <w:tcBorders>
              <w:top w:val="nil"/>
              <w:left w:val="nil"/>
              <w:bottom w:val="nil"/>
              <w:right w:val="nil"/>
            </w:tcBorders>
          </w:tcPr>
          <w:p w:rsidR="00000000" w:rsidRDefault="00894742">
            <w:pPr>
              <w:spacing w:after="120"/>
              <w:rPr>
                <w:rFonts w:cs="David"/>
                <w:sz w:val="26"/>
                <w:szCs w:val="26"/>
              </w:rPr>
            </w:pPr>
            <w:r>
              <w:rPr>
                <w:rFonts w:cs="David"/>
                <w:sz w:val="26"/>
                <w:szCs w:val="26"/>
                <w:rtl/>
              </w:rPr>
              <w:t>"הגבלת מספר תקופות לדמי אבטלה לעצמאים</w:t>
            </w:r>
          </w:p>
        </w:tc>
        <w:tc>
          <w:tcPr>
            <w:tcW w:w="684" w:type="dxa"/>
            <w:gridSpan w:val="3"/>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171ב.</w:t>
            </w:r>
          </w:p>
        </w:tc>
        <w:tc>
          <w:tcPr>
            <w:tcW w:w="4917" w:type="dxa"/>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 xml:space="preserve">בנוסף לאמור בסעיף 171, לא ישולמו דמי אבטלה למובטל שהוא </w:t>
            </w:r>
            <w:r>
              <w:rPr>
                <w:rFonts w:cs="David"/>
                <w:sz w:val="26"/>
                <w:szCs w:val="26"/>
                <w:rtl/>
              </w:rPr>
              <w:t>עובד עצמאי, כמשמעותו בסעיף 160 יותר מסך 3 תקופות מרביות כמשמעותן בסעיף 171(א), כל חייו".</w:t>
            </w:r>
          </w:p>
          <w:p w:rsidR="00000000" w:rsidRDefault="00894742">
            <w:pPr>
              <w:spacing w:after="120" w:line="360" w:lineRule="auto"/>
              <w:jc w:val="both"/>
              <w:rPr>
                <w:rFonts w:cs="David"/>
                <w:sz w:val="26"/>
                <w:szCs w:val="26"/>
                <w:rtl/>
              </w:rPr>
            </w:pP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תיקון סעיף 337</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6.</w:t>
            </w:r>
          </w:p>
        </w:tc>
        <w:tc>
          <w:tcPr>
            <w:tcW w:w="6792" w:type="dxa"/>
            <w:gridSpan w:val="7"/>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337 לחוק הביטוח הלאומי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(1)</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קטן (א), בפסקה (2), לאחר המילים "לעניין מבוטח אחר" יבואו המילים "שהוא אינו עובד או עובד עצמאי";</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(2)</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בסעיף קטן (א), לאחר פסקה (2), יבוא -</w:t>
            </w: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p>
        </w:tc>
        <w:tc>
          <w:tcPr>
            <w:tcW w:w="511"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"(3)</w:t>
            </w:r>
          </w:p>
        </w:tc>
        <w:tc>
          <w:tcPr>
            <w:tcW w:w="5658" w:type="dxa"/>
            <w:gridSpan w:val="5"/>
            <w:tcBorders>
              <w:top w:val="nil"/>
              <w:left w:val="nil"/>
              <w:bottom w:val="nil"/>
              <w:right w:val="nil"/>
            </w:tcBorders>
          </w:tcPr>
          <w:p w:rsidR="00000000" w:rsidRDefault="00894742">
            <w:pPr>
              <w:spacing w:after="120" w:line="360" w:lineRule="auto"/>
              <w:jc w:val="both"/>
              <w:rPr>
                <w:rFonts w:cs="David"/>
                <w:sz w:val="26"/>
                <w:szCs w:val="26"/>
                <w:rtl/>
              </w:rPr>
            </w:pPr>
            <w:r>
              <w:rPr>
                <w:rFonts w:cs="David"/>
                <w:sz w:val="26"/>
                <w:szCs w:val="26"/>
                <w:rtl/>
              </w:rPr>
              <w:t>שעור דמי הביטוח החודשיים לפי סעיף 335 לעניין עובד עצמאי יקבעו על ידי השר באישור ועדת הכספים של הכנסת."</w:t>
            </w:r>
          </w:p>
          <w:p w:rsidR="00000000" w:rsidRDefault="00894742">
            <w:pPr>
              <w:spacing w:after="120" w:line="360" w:lineRule="auto"/>
              <w:jc w:val="both"/>
              <w:rPr>
                <w:rFonts w:cs="David"/>
                <w:sz w:val="26"/>
                <w:szCs w:val="26"/>
              </w:rPr>
            </w:pPr>
          </w:p>
        </w:tc>
      </w:tr>
      <w:tr w:rsidR="00000000">
        <w:trPr>
          <w:cantSplit/>
        </w:trPr>
        <w:tc>
          <w:tcPr>
            <w:tcW w:w="1117" w:type="dxa"/>
            <w:tcBorders>
              <w:top w:val="nil"/>
              <w:left w:val="nil"/>
              <w:bottom w:val="nil"/>
              <w:right w:val="nil"/>
            </w:tcBorders>
          </w:tcPr>
          <w:p w:rsidR="00000000" w:rsidRDefault="00894742">
            <w:pPr>
              <w:spacing w:after="120"/>
              <w:rPr>
                <w:rFonts w:cs="David"/>
                <w:sz w:val="26"/>
                <w:szCs w:val="26"/>
              </w:rPr>
            </w:pPr>
            <w:r>
              <w:rPr>
                <w:rFonts w:cs="David"/>
                <w:sz w:val="26"/>
                <w:szCs w:val="26"/>
                <w:rtl/>
              </w:rPr>
              <w:t>תחילה</w:t>
            </w:r>
          </w:p>
        </w:tc>
        <w:tc>
          <w:tcPr>
            <w:tcW w:w="511"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7.</w:t>
            </w:r>
          </w:p>
        </w:tc>
        <w:tc>
          <w:tcPr>
            <w:tcW w:w="567" w:type="dxa"/>
            <w:tcBorders>
              <w:top w:val="nil"/>
              <w:left w:val="nil"/>
              <w:bottom w:val="nil"/>
              <w:right w:val="nil"/>
            </w:tcBorders>
          </w:tcPr>
          <w:p w:rsidR="00000000" w:rsidRDefault="00894742">
            <w:pPr>
              <w:spacing w:after="120" w:line="360" w:lineRule="auto"/>
              <w:rPr>
                <w:rFonts w:cs="David"/>
                <w:sz w:val="26"/>
                <w:szCs w:val="26"/>
              </w:rPr>
            </w:pPr>
            <w:r>
              <w:rPr>
                <w:rFonts w:cs="David"/>
                <w:sz w:val="26"/>
                <w:szCs w:val="26"/>
                <w:rtl/>
              </w:rPr>
              <w:t>(א)</w:t>
            </w:r>
          </w:p>
        </w:tc>
        <w:tc>
          <w:tcPr>
            <w:tcW w:w="6225" w:type="dxa"/>
            <w:gridSpan w:val="6"/>
            <w:tcBorders>
              <w:top w:val="nil"/>
              <w:left w:val="nil"/>
              <w:bottom w:val="nil"/>
              <w:right w:val="nil"/>
            </w:tcBorders>
          </w:tcPr>
          <w:p w:rsidR="00000000" w:rsidRDefault="00894742">
            <w:pPr>
              <w:spacing w:after="120" w:line="360" w:lineRule="auto"/>
              <w:jc w:val="both"/>
              <w:rPr>
                <w:rFonts w:cs="David"/>
                <w:sz w:val="26"/>
                <w:szCs w:val="26"/>
              </w:rPr>
            </w:pPr>
            <w:r>
              <w:rPr>
                <w:rFonts w:cs="David"/>
                <w:sz w:val="26"/>
                <w:szCs w:val="26"/>
                <w:rtl/>
              </w:rPr>
              <w:t>תחילת סעיפים 28ג ו- 337 לחוק הביטוח הלאומי, כנוסחם בסעיפים 1 ו-6 בחוק זה, ב-1 לחודש שלאחר י</w:t>
            </w:r>
            <w:r>
              <w:rPr>
                <w:rFonts w:cs="David"/>
                <w:sz w:val="26"/>
                <w:szCs w:val="26"/>
                <w:rtl/>
              </w:rPr>
              <w:t>ום פרסומו.</w:t>
            </w:r>
          </w:p>
        </w:tc>
      </w:tr>
      <w:tr w:rsidR="00000000">
        <w:trPr>
          <w:cantSplit/>
        </w:trPr>
        <w:tc>
          <w:tcPr>
            <w:tcW w:w="1117" w:type="dxa"/>
            <w:tcBorders>
              <w:top w:val="nil"/>
              <w:left w:val="nil"/>
              <w:bottom w:val="nil"/>
              <w:right w:val="nil"/>
            </w:tcBorders>
          </w:tcPr>
          <w:p w:rsidR="00000000" w:rsidRDefault="00894742">
            <w:pPr>
              <w:spacing w:after="120"/>
              <w:rPr>
                <w:rFonts w:cs="David"/>
                <w:spacing w:val="-4"/>
                <w:sz w:val="26"/>
                <w:szCs w:val="26"/>
              </w:rPr>
            </w:pPr>
          </w:p>
        </w:tc>
        <w:tc>
          <w:tcPr>
            <w:tcW w:w="511" w:type="dxa"/>
            <w:tcBorders>
              <w:top w:val="nil"/>
              <w:left w:val="nil"/>
              <w:bottom w:val="nil"/>
              <w:right w:val="nil"/>
            </w:tcBorders>
          </w:tcPr>
          <w:p w:rsidR="00000000" w:rsidRDefault="00894742">
            <w:pPr>
              <w:spacing w:after="120" w:line="360" w:lineRule="auto"/>
              <w:rPr>
                <w:rFonts w:cs="David"/>
                <w:spacing w:val="-4"/>
                <w:sz w:val="26"/>
                <w:szCs w:val="26"/>
              </w:rPr>
            </w:pPr>
          </w:p>
        </w:tc>
        <w:tc>
          <w:tcPr>
            <w:tcW w:w="567" w:type="dxa"/>
            <w:tcBorders>
              <w:top w:val="nil"/>
              <w:left w:val="nil"/>
              <w:bottom w:val="nil"/>
              <w:right w:val="nil"/>
            </w:tcBorders>
          </w:tcPr>
          <w:p w:rsidR="00000000" w:rsidRDefault="00894742">
            <w:pPr>
              <w:spacing w:after="120" w:line="360" w:lineRule="auto"/>
              <w:rPr>
                <w:rFonts w:cs="David"/>
                <w:spacing w:val="-4"/>
                <w:sz w:val="26"/>
                <w:szCs w:val="26"/>
              </w:rPr>
            </w:pPr>
            <w:r>
              <w:rPr>
                <w:rFonts w:cs="David"/>
                <w:spacing w:val="-4"/>
                <w:sz w:val="26"/>
                <w:szCs w:val="26"/>
                <w:rtl/>
              </w:rPr>
              <w:t>(ב)</w:t>
            </w:r>
          </w:p>
        </w:tc>
        <w:tc>
          <w:tcPr>
            <w:tcW w:w="6225" w:type="dxa"/>
            <w:gridSpan w:val="6"/>
            <w:tcBorders>
              <w:top w:val="nil"/>
              <w:left w:val="nil"/>
              <w:bottom w:val="nil"/>
              <w:right w:val="nil"/>
            </w:tcBorders>
          </w:tcPr>
          <w:p w:rsidR="00000000" w:rsidRDefault="00894742">
            <w:pPr>
              <w:spacing w:line="360" w:lineRule="auto"/>
              <w:jc w:val="both"/>
              <w:rPr>
                <w:spacing w:val="-4"/>
              </w:rPr>
            </w:pPr>
            <w:r>
              <w:rPr>
                <w:rFonts w:cs="David"/>
                <w:spacing w:val="-4"/>
                <w:sz w:val="26"/>
                <w:szCs w:val="26"/>
                <w:rtl/>
              </w:rPr>
              <w:t>תחילת סעיפים 158, 160 ו-170 לחוק הביטוח הלאומי, כנוסחם  בסעיפים 2,  3 ו-4 בחוק זה, ב- א' בטבת התשס"ו (1 בינואר 2006)."</w:t>
            </w:r>
          </w:p>
        </w:tc>
      </w:tr>
    </w:tbl>
    <w:p w:rsidR="00000000" w:rsidRDefault="00894742">
      <w:pPr>
        <w:spacing w:line="360" w:lineRule="auto"/>
        <w:jc w:val="both"/>
        <w:rPr>
          <w:rFonts w:cs="David"/>
          <w:sz w:val="26"/>
          <w:szCs w:val="26"/>
          <w:rtl/>
        </w:rPr>
      </w:pPr>
    </w:p>
    <w:p w:rsidR="00000000" w:rsidRDefault="00894742">
      <w:pPr>
        <w:pStyle w:val="1"/>
        <w:spacing w:line="360" w:lineRule="auto"/>
        <w:rPr>
          <w:rFonts w:cs="David"/>
          <w:rtl/>
        </w:rPr>
      </w:pPr>
      <w:r>
        <w:rPr>
          <w:rFonts w:cs="David"/>
          <w:rtl/>
        </w:rPr>
        <w:t>דברי - הסבר</w:t>
      </w:r>
    </w:p>
    <w:p w:rsidR="00000000" w:rsidRDefault="00894742">
      <w:pPr>
        <w:spacing w:line="360" w:lineRule="auto"/>
        <w:rPr>
          <w:sz w:val="22"/>
          <w:szCs w:val="22"/>
          <w:rtl/>
        </w:rPr>
      </w:pPr>
    </w:p>
    <w:p w:rsidR="00000000" w:rsidRDefault="00894742">
      <w:pPr>
        <w:pStyle w:val="af0"/>
        <w:spacing w:line="360" w:lineRule="auto"/>
        <w:rPr>
          <w:rFonts w:cs="David"/>
          <w:sz w:val="26"/>
          <w:szCs w:val="26"/>
          <w:rtl/>
        </w:rPr>
      </w:pPr>
      <w:r>
        <w:rPr>
          <w:rFonts w:cs="David"/>
          <w:sz w:val="26"/>
          <w:szCs w:val="26"/>
          <w:rtl/>
        </w:rPr>
        <w:t>במצב הקיים היום, קובע חוק הביטוח הלאומי זכאות לדמי אבטלה לשכירים בלבד ואינו מאפשר מתן דמי אבטלה לעצמאים</w:t>
      </w:r>
      <w:r>
        <w:rPr>
          <w:rFonts w:cs="David"/>
          <w:sz w:val="26"/>
          <w:szCs w:val="26"/>
          <w:rtl/>
        </w:rPr>
        <w:t xml:space="preserve">. בהצעת חוק זו מוצע לאפשר גם לעצמאים לקבל דמי אבטלה. מרבית העסקים במדינת ישראל הנם עסקים קטנים, ולאור המצב הביטחוני נפגעה עוצמתה הכלכלית של מדינת ישראל ומגזר העצמאים בפרט. כתוצאה מקריסת עסקים רבים מצטרפים למעגל האבטלה אלפי עובדים נוספים שכירים ועצמאיים גם </w:t>
      </w:r>
      <w:r>
        <w:rPr>
          <w:rFonts w:cs="David"/>
          <w:sz w:val="26"/>
          <w:szCs w:val="26"/>
          <w:rtl/>
        </w:rPr>
        <w:t>יחד. ביטוח האבטלה הוא אחד מענפי הביטוח החשובים ביותר ביכולת לסייע לאדם שנקלע למצוקה זמנית, לחיות בכבוד ולנסות להשתקם. גם מאות אלפי העצמאים שעסקיהם נסגרו בשל המיתון הכלכלי, צריכים לקבל תמיכה כדי לעבור את הגל הזה ולהתכונן לצמיחה.</w:t>
      </w:r>
    </w:p>
    <w:p w:rsidR="00000000" w:rsidRDefault="00894742">
      <w:pPr>
        <w:pStyle w:val="af0"/>
        <w:spacing w:line="360" w:lineRule="auto"/>
        <w:rPr>
          <w:rFonts w:cs="David"/>
          <w:sz w:val="26"/>
          <w:szCs w:val="26"/>
          <w:rtl/>
        </w:rPr>
      </w:pPr>
    </w:p>
    <w:p w:rsidR="00000000" w:rsidRDefault="00894742">
      <w:pPr>
        <w:pStyle w:val="af0"/>
        <w:spacing w:line="360" w:lineRule="auto"/>
        <w:rPr>
          <w:rFonts w:cs="David"/>
          <w:sz w:val="26"/>
          <w:szCs w:val="26"/>
          <w:rtl/>
        </w:rPr>
      </w:pPr>
      <w:r>
        <w:rPr>
          <w:rFonts w:cs="David"/>
          <w:sz w:val="26"/>
          <w:szCs w:val="26"/>
          <w:rtl/>
        </w:rPr>
        <w:t>בהצעת החוק מוצע להעניק למגז</w:t>
      </w:r>
      <w:r>
        <w:rPr>
          <w:rFonts w:cs="David"/>
          <w:sz w:val="26"/>
          <w:szCs w:val="26"/>
          <w:rtl/>
        </w:rPr>
        <w:t>ר העצמאים ובעלי העסקים זכאות לדמי אבטלה דרך קרן אבטלה מיועדת, כענף ביטוח נפרד. מאחר והכנסתו של עובד עצמאי עשויה להשתנות משמעותית מחודש לחודש, יחושבו דמי האבטלה על בסיס הכנסתו בשנתיים שקדמו למועד שבו היה מובטל, ועל פי שכרו הממוצע. מוצע לדחות את תחילת החוק ב</w:t>
      </w:r>
      <w:r>
        <w:rPr>
          <w:rFonts w:cs="David"/>
          <w:sz w:val="26"/>
          <w:szCs w:val="26"/>
          <w:rtl/>
        </w:rPr>
        <w:t xml:space="preserve">שנתיים על מנת לאפשר צבירה של כסף בקרן המיועדת. כן מוצע להגביל את קבלת דמי האבטלה למספר פעמים במהלך החיים. </w:t>
      </w:r>
    </w:p>
    <w:p w:rsidR="00000000" w:rsidRDefault="00894742">
      <w:pPr>
        <w:spacing w:line="360" w:lineRule="auto"/>
        <w:rPr>
          <w:rFonts w:cs="David"/>
          <w:rtl/>
        </w:rPr>
      </w:pPr>
    </w:p>
    <w:p w:rsidR="00000000" w:rsidRDefault="00894742">
      <w:pPr>
        <w:spacing w:line="360" w:lineRule="auto"/>
        <w:jc w:val="both"/>
        <w:rPr>
          <w:rFonts w:cs="David"/>
          <w:sz w:val="26"/>
          <w:szCs w:val="26"/>
          <w:rtl/>
        </w:rPr>
      </w:pPr>
      <w:r>
        <w:rPr>
          <w:rFonts w:cs="David"/>
          <w:sz w:val="26"/>
          <w:szCs w:val="26"/>
          <w:rtl/>
        </w:rPr>
        <w:t>הצעות חוק דומות הונחו על שולחן הכנסת החמש עשרה על ידי חבר הכנסת אברהם פורז (פ/523), ועל ידי חבר הכנסת רחמים מלול (פ/2078), ועל ידי חבר הכנסת אמנון כ</w:t>
      </w:r>
      <w:r>
        <w:rPr>
          <w:rFonts w:cs="David"/>
          <w:sz w:val="26"/>
          <w:szCs w:val="26"/>
          <w:rtl/>
        </w:rPr>
        <w:t>הן (פ/2617), ועל ידי חבר הכנסת דוד טל וקבוצת חברי הכנסת (פ/3307), ועל ידי חבר הכנסת יצחק גאגולה (פ/3712), ועל ידי חברי הכנסת יורי שטרן ואליעזר כהן (פ/3745), ועל ידי חברות הכנסת סופה לנדבר ונעמי חזן (פ/3786).</w:t>
      </w:r>
    </w:p>
    <w:p w:rsidR="00000000" w:rsidRDefault="00894742">
      <w:pPr>
        <w:pStyle w:val="af0"/>
        <w:spacing w:line="360" w:lineRule="auto"/>
        <w:rPr>
          <w:rFonts w:cs="David"/>
          <w:sz w:val="26"/>
          <w:szCs w:val="26"/>
          <w:rtl/>
        </w:rPr>
      </w:pPr>
      <w:r>
        <w:rPr>
          <w:rFonts w:cs="David"/>
          <w:sz w:val="26"/>
          <w:szCs w:val="26"/>
          <w:rtl/>
        </w:rPr>
        <w:t xml:space="preserve">הצעות חוק דומות בעיקרן הונחו על שולחן הכנסת השש </w:t>
      </w:r>
      <w:r>
        <w:rPr>
          <w:rFonts w:cs="David"/>
          <w:sz w:val="26"/>
          <w:szCs w:val="26"/>
          <w:rtl/>
        </w:rPr>
        <w:t>עשרה על ידי על ידי חבר הכנסת דוד טל וקבוצת חברי הכנסת (פ/103), על ידי חבר הכנסת יורי שטרן וקבוצת חברי הכנסת (פ/344), ועל ידי חבר הכנסת אמנון כהן (פ/446) והיא הוסרה מסדר יומה של הכנסת ביום 21.1.2004, ועל ידי חבר הכנסת אליהו ישי וקבוצת חברי הכנסת(פ/660), ועל</w:t>
      </w:r>
      <w:r>
        <w:rPr>
          <w:rFonts w:cs="David"/>
          <w:sz w:val="26"/>
          <w:szCs w:val="26"/>
          <w:rtl/>
        </w:rPr>
        <w:t xml:space="preserve"> ידי חבר הכנסת בנימין בן אליעזר וקבוצת חברי הכנסת(פ/2039), ועל ידי חברת הכנסת אתי לבני וקבוצת חברי הכנסת(פ/2239).</w:t>
      </w:r>
    </w:p>
    <w:p w:rsidR="00000000" w:rsidRDefault="00894742">
      <w:pPr>
        <w:pStyle w:val="af0"/>
        <w:spacing w:line="360" w:lineRule="auto"/>
        <w:rPr>
          <w:rFonts w:cs="David"/>
          <w:sz w:val="26"/>
          <w:szCs w:val="26"/>
          <w:rtl/>
        </w:rPr>
      </w:pPr>
      <w:r>
        <w:rPr>
          <w:rFonts w:cs="David"/>
          <w:sz w:val="26"/>
          <w:szCs w:val="26"/>
          <w:rtl/>
        </w:rPr>
        <w:t>הצעת חוק דומה בעיקרה הונחה על שולחן הכנסת השבע-עשרה על ידי חבר הכנסת דוד טל (פ/357).</w:t>
      </w:r>
    </w:p>
    <w:p w:rsidR="00000000" w:rsidRDefault="00894742">
      <w:pPr>
        <w:pStyle w:val="af0"/>
        <w:spacing w:line="360" w:lineRule="auto"/>
        <w:rPr>
          <w:rFonts w:cs="David"/>
          <w:sz w:val="26"/>
          <w:szCs w:val="26"/>
          <w:rtl/>
        </w:rPr>
      </w:pPr>
      <w:r>
        <w:rPr>
          <w:rFonts w:cs="David"/>
          <w:sz w:val="26"/>
          <w:szCs w:val="26"/>
          <w:rtl/>
        </w:rPr>
        <w:t>הצעת חוק זהה הונחה על שולחן הכנסת השבע-עשרה על ידי חבר הכ</w:t>
      </w:r>
      <w:r>
        <w:rPr>
          <w:rFonts w:cs="David"/>
          <w:sz w:val="26"/>
          <w:szCs w:val="26"/>
          <w:rtl/>
        </w:rPr>
        <w:t xml:space="preserve">נסת אמנון כהן (פ/905).  </w:t>
      </w:r>
    </w:p>
    <w:p w:rsidR="00000000" w:rsidRDefault="00894742">
      <w:pPr>
        <w:spacing w:line="360" w:lineRule="auto"/>
        <w:ind w:left="1080" w:hanging="360"/>
        <w:jc w:val="both"/>
        <w:rPr>
          <w:rFonts w:cs="David"/>
          <w:sz w:val="26"/>
          <w:szCs w:val="26"/>
          <w:rtl/>
        </w:rPr>
      </w:pPr>
    </w:p>
    <w:p w:rsidR="00000000" w:rsidRDefault="00894742">
      <w:pPr>
        <w:spacing w:line="360" w:lineRule="auto"/>
        <w:ind w:left="720"/>
        <w:jc w:val="both"/>
        <w:rPr>
          <w:rFonts w:cs="David"/>
          <w:sz w:val="26"/>
          <w:szCs w:val="26"/>
          <w:rtl/>
        </w:rPr>
      </w:pPr>
    </w:p>
    <w:p w:rsidR="00000000" w:rsidRDefault="00894742">
      <w:pPr>
        <w:spacing w:line="360" w:lineRule="auto"/>
        <w:ind w:left="1080"/>
        <w:jc w:val="both"/>
        <w:rPr>
          <w:rFonts w:cs="David"/>
          <w:sz w:val="26"/>
          <w:szCs w:val="26"/>
          <w:rtl/>
        </w:rPr>
      </w:pPr>
    </w:p>
    <w:p w:rsidR="00000000" w:rsidRDefault="00894742">
      <w:pPr>
        <w:spacing w:line="360" w:lineRule="auto"/>
        <w:rPr>
          <w:sz w:val="26"/>
          <w:szCs w:val="26"/>
          <w:rtl/>
        </w:rPr>
      </w:pPr>
    </w:p>
    <w:p w:rsidR="00000000" w:rsidRDefault="00894742">
      <w:pPr>
        <w:spacing w:line="360" w:lineRule="auto"/>
        <w:jc w:val="both"/>
        <w:rPr>
          <w:rFonts w:cs="David"/>
          <w:sz w:val="26"/>
          <w:szCs w:val="26"/>
          <w:rtl/>
        </w:rPr>
      </w:pPr>
    </w:p>
    <w:p w:rsidR="00000000" w:rsidRDefault="00894742">
      <w:pPr>
        <w:spacing w:line="360" w:lineRule="auto"/>
        <w:jc w:val="both"/>
        <w:rPr>
          <w:rFonts w:cs="David"/>
          <w:sz w:val="26"/>
          <w:szCs w:val="26"/>
          <w:rtl/>
        </w:rPr>
      </w:pPr>
    </w:p>
    <w:p w:rsidR="00000000" w:rsidRDefault="00894742">
      <w:pPr>
        <w:spacing w:line="360" w:lineRule="auto"/>
        <w:jc w:val="both"/>
        <w:rPr>
          <w:rFonts w:cs="David"/>
          <w:sz w:val="26"/>
          <w:szCs w:val="26"/>
          <w:rtl/>
        </w:rPr>
      </w:pPr>
      <w:r>
        <w:rPr>
          <w:rFonts w:cs="David"/>
          <w:sz w:val="26"/>
          <w:szCs w:val="26"/>
          <w:rtl/>
        </w:rPr>
        <w:t>---------------------------------</w:t>
      </w:r>
    </w:p>
    <w:p w:rsidR="00000000" w:rsidRDefault="00894742">
      <w:pPr>
        <w:spacing w:line="360" w:lineRule="auto"/>
        <w:jc w:val="both"/>
        <w:rPr>
          <w:rFonts w:cs="David"/>
          <w:sz w:val="26"/>
          <w:szCs w:val="26"/>
          <w:rtl/>
        </w:rPr>
      </w:pPr>
      <w:r>
        <w:rPr>
          <w:rFonts w:cs="David"/>
          <w:sz w:val="26"/>
          <w:szCs w:val="26"/>
          <w:rtl/>
        </w:rPr>
        <w:t>הוגשה ליו"ר הכנסת והסגנים</w:t>
      </w:r>
    </w:p>
    <w:p w:rsidR="00000000" w:rsidRDefault="00894742">
      <w:pPr>
        <w:spacing w:line="360" w:lineRule="auto"/>
        <w:jc w:val="both"/>
        <w:rPr>
          <w:rFonts w:cs="David"/>
          <w:sz w:val="26"/>
          <w:szCs w:val="26"/>
          <w:rtl/>
        </w:rPr>
      </w:pPr>
      <w:r>
        <w:rPr>
          <w:rFonts w:cs="David"/>
          <w:sz w:val="26"/>
          <w:szCs w:val="26"/>
          <w:rtl/>
        </w:rPr>
        <w:t>והונחה על שולחן הכנסת ביום</w:t>
      </w:r>
    </w:p>
    <w:p w:rsidR="00000000" w:rsidRDefault="00894742">
      <w:pPr>
        <w:spacing w:line="360" w:lineRule="auto"/>
        <w:jc w:val="both"/>
        <w:rPr>
          <w:rFonts w:cs="David"/>
          <w:sz w:val="26"/>
          <w:szCs w:val="26"/>
          <w:rtl/>
        </w:rPr>
      </w:pPr>
      <w:r>
        <w:rPr>
          <w:rFonts w:cs="David"/>
          <w:sz w:val="26"/>
          <w:szCs w:val="26"/>
          <w:rtl/>
        </w:rPr>
        <w:t>י"ג בכסלו התשס"ז – 4.12.06</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4742">
      <w:r>
        <w:separator/>
      </w:r>
    </w:p>
  </w:endnote>
  <w:endnote w:type="continuationSeparator" w:id="0">
    <w:p w:rsidR="00000000" w:rsidRDefault="0089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4742">
      <w:r>
        <w:separator/>
      </w:r>
    </w:p>
  </w:footnote>
  <w:footnote w:type="continuationSeparator" w:id="0">
    <w:p w:rsidR="00000000" w:rsidRDefault="00894742">
      <w:r>
        <w:continuationSeparator/>
      </w:r>
    </w:p>
  </w:footnote>
  <w:footnote w:id="1">
    <w:p w:rsidR="00000000" w:rsidRDefault="00894742">
      <w:pPr>
        <w:pStyle w:val="a6"/>
      </w:pPr>
      <w:r>
        <w:rPr>
          <w:rStyle w:val="a8"/>
          <w:rFonts w:cs="David"/>
        </w:rPr>
        <w:footnoteRef/>
      </w:r>
      <w:r>
        <w:rPr>
          <w:rFonts w:cs="David"/>
        </w:rPr>
        <w:t xml:space="preserve"> </w:t>
      </w:r>
      <w:r>
        <w:rPr>
          <w:rFonts w:cs="David"/>
          <w:rtl/>
        </w:rPr>
        <w:t>ס"ח התשנ"ה, עמ</w:t>
      </w:r>
      <w:r>
        <w:rPr>
          <w:rFonts w:cs="David"/>
          <w:rtl/>
        </w:rPr>
        <w:t>' 210.</w:t>
      </w:r>
    </w:p>
  </w:footnote>
  <w:footnote w:id="2">
    <w:p w:rsidR="00000000" w:rsidRDefault="00894742">
      <w:pPr>
        <w:pStyle w:val="a6"/>
      </w:pPr>
      <w:r>
        <w:rPr>
          <w:rStyle w:val="a8"/>
          <w:rFonts w:cs="David"/>
        </w:rPr>
        <w:footnoteRef/>
      </w:r>
      <w:r>
        <w:rPr>
          <w:rFonts w:cs="David"/>
        </w:rPr>
        <w:t xml:space="preserve"> </w:t>
      </w:r>
      <w:r>
        <w:rPr>
          <w:rFonts w:cs="David"/>
          <w:rtl/>
        </w:rPr>
        <w:t>ס"ח התשנ"ט, עמ' 189.</w:t>
      </w:r>
    </w:p>
  </w:footnote>
  <w:footnote w:id="3">
    <w:p w:rsidR="00000000" w:rsidRDefault="00894742">
      <w:pPr>
        <w:pStyle w:val="a6"/>
      </w:pPr>
      <w:r>
        <w:rPr>
          <w:rStyle w:val="a8"/>
          <w:rFonts w:cs="David"/>
        </w:rPr>
        <w:footnoteRef/>
      </w:r>
      <w:r>
        <w:rPr>
          <w:rFonts w:cs="David"/>
        </w:rPr>
        <w:t xml:space="preserve"> </w:t>
      </w:r>
      <w:r>
        <w:rPr>
          <w:rFonts w:cs="David"/>
          <w:rtl/>
        </w:rPr>
        <w:t>ס"ח התשמ"ז, עמ' 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4742">
    <w:pPr>
      <w:pStyle w:val="ab"/>
      <w:framePr w:wrap="auto" w:vAnchor="text" w:hAnchor="margin" w:xAlign="center" w:y="1"/>
      <w:rPr>
        <w:rStyle w:val="ad"/>
        <w:rtl/>
      </w:rPr>
    </w:pPr>
    <w:r>
      <w:rPr>
        <w:rStyle w:val="ad"/>
      </w:rPr>
      <w:fldChar w:fldCharType="begin"/>
    </w:r>
    <w:r>
      <w:rPr>
        <w:rStyle w:val="ad"/>
      </w:rPr>
      <w:instrText xml:space="preserve">PAGE  </w:instrText>
    </w:r>
    <w:r>
      <w:rPr>
        <w:rStyle w:val="ad"/>
      </w:rPr>
      <w:fldChar w:fldCharType="separate"/>
    </w:r>
    <w:r>
      <w:rPr>
        <w:rStyle w:val="ad"/>
        <w:noProof/>
        <w:rtl/>
      </w:rPr>
      <w:t>4</w:t>
    </w:r>
    <w:r>
      <w:rPr>
        <w:rStyle w:val="ad"/>
      </w:rPr>
      <w:fldChar w:fldCharType="end"/>
    </w:r>
  </w:p>
  <w:p w:rsidR="00000000" w:rsidRDefault="00894742">
    <w:pPr>
      <w:pStyle w:val="ab"/>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47C92"/>
    <w:multiLevelType w:val="hybridMultilevel"/>
    <w:tmpl w:val="26F6F28A"/>
    <w:lvl w:ilvl="0" w:tplc="62389628">
      <w:start w:val="1"/>
      <w:numFmt w:val="decimal"/>
      <w:lvlText w:val="(%1)"/>
      <w:lvlJc w:val="left"/>
      <w:pPr>
        <w:tabs>
          <w:tab w:val="num" w:pos="735"/>
        </w:tabs>
        <w:ind w:left="735" w:hanging="375"/>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
    <w:nsid w:val="18CB6187"/>
    <w:multiLevelType w:val="hybridMultilevel"/>
    <w:tmpl w:val="F138ACF0"/>
    <w:lvl w:ilvl="0" w:tplc="AAA62B0C">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
    <w:nsid w:val="38B94B4E"/>
    <w:multiLevelType w:val="hybridMultilevel"/>
    <w:tmpl w:val="73A4CCCC"/>
    <w:lvl w:ilvl="0" w:tplc="9194738E">
      <w:start w:val="1"/>
      <w:numFmt w:val="hebrew1"/>
      <w:lvlText w:val="(%1)"/>
      <w:lvlJc w:val="left"/>
      <w:pPr>
        <w:tabs>
          <w:tab w:val="num" w:pos="765"/>
        </w:tabs>
        <w:ind w:left="765" w:hanging="405"/>
      </w:pPr>
      <w:rPr>
        <w:rFonts w:cs="Times New Roman"/>
        <w:sz w:val="24"/>
        <w:szCs w:val="24"/>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
    <w:nsid w:val="4F6D575B"/>
    <w:multiLevelType w:val="hybridMultilevel"/>
    <w:tmpl w:val="DC88FB26"/>
    <w:lvl w:ilvl="0" w:tplc="ED069C7C">
      <w:start w:val="1"/>
      <w:numFmt w:val="decimal"/>
      <w:lvlText w:val="(%1)"/>
      <w:lvlJc w:val="left"/>
      <w:pPr>
        <w:tabs>
          <w:tab w:val="num" w:pos="735"/>
        </w:tabs>
        <w:ind w:left="735" w:hanging="375"/>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4">
    <w:nsid w:val="7CDD10F6"/>
    <w:multiLevelType w:val="hybridMultilevel"/>
    <w:tmpl w:val="7188E62E"/>
    <w:lvl w:ilvl="0" w:tplc="0450E4AE">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 "/>
    <w:docVar w:name="NewDocument" w:val="True"/>
    <w:docVar w:name="StoreID" w:val=" "/>
  </w:docVars>
  <w:rsids>
    <w:rsidRoot w:val="00894742"/>
    <w:rsid w:val="0089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uiPriority="35" w:qFormat="1"/>
    <w:lsdException w:name="footnote reference" w:unhideWhenUsed="0"/>
    <w:lsdException w:name="annotation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styleId="a3">
    <w:name w:val="annotation reference"/>
    <w:basedOn w:val="a0"/>
    <w:uiPriority w:val="99"/>
    <w:rPr>
      <w:rFonts w:cs="Times New Roman"/>
      <w:sz w:val="16"/>
      <w:szCs w:val="16"/>
    </w:rPr>
  </w:style>
  <w:style w:type="paragraph" w:styleId="a4">
    <w:name w:val="annotation text"/>
    <w:basedOn w:val="a"/>
    <w:link w:val="a5"/>
    <w:uiPriority w:val="99"/>
    <w:rPr>
      <w:sz w:val="20"/>
      <w:szCs w:val="20"/>
    </w:rPr>
  </w:style>
  <w:style w:type="character" w:customStyle="1" w:styleId="a5">
    <w:name w:val="טקסט הערה תו"/>
    <w:basedOn w:val="a0"/>
    <w:link w:val="a4"/>
    <w:uiPriority w:val="99"/>
    <w:semiHidden/>
    <w:rPr>
      <w:rFonts w:ascii="Times New Roman" w:hAnsi="Times New Roman" w:cs="Times New Roman"/>
      <w:sz w:val="20"/>
      <w:szCs w:val="20"/>
      <w:lang w:eastAsia="he-IL"/>
    </w:rPr>
  </w:style>
  <w:style w:type="paragraph" w:styleId="a6">
    <w:name w:val="footnote text"/>
    <w:basedOn w:val="a"/>
    <w:link w:val="a7"/>
    <w:uiPriority w:val="99"/>
    <w:rPr>
      <w:sz w:val="20"/>
      <w:szCs w:val="20"/>
    </w:rPr>
  </w:style>
  <w:style w:type="character" w:customStyle="1" w:styleId="a7">
    <w:name w:val="טקסט הערת שוליים תו"/>
    <w:basedOn w:val="a0"/>
    <w:link w:val="a6"/>
    <w:uiPriority w:val="99"/>
    <w:semiHidden/>
    <w:rPr>
      <w:rFonts w:ascii="Times New Roman" w:hAnsi="Times New Roman" w:cs="Times New Roman"/>
      <w:sz w:val="20"/>
      <w:szCs w:val="20"/>
      <w:lang w:eastAsia="he-IL"/>
    </w:rPr>
  </w:style>
  <w:style w:type="character" w:styleId="a8">
    <w:name w:val="footnote reference"/>
    <w:basedOn w:val="a0"/>
    <w:uiPriority w:val="99"/>
    <w:rPr>
      <w:rFonts w:cs="Times New Roman"/>
      <w:vertAlign w:val="superscript"/>
    </w:rPr>
  </w:style>
  <w:style w:type="paragraph" w:styleId="a9">
    <w:name w:val="Title"/>
    <w:basedOn w:val="a"/>
    <w:link w:val="aa"/>
    <w:uiPriority w:val="99"/>
    <w:qFormat/>
    <w:pPr>
      <w:jc w:val="center"/>
    </w:pPr>
    <w:rPr>
      <w:rFonts w:eastAsia="Times New Roman"/>
      <w:b/>
      <w:bCs/>
      <w:sz w:val="28"/>
      <w:szCs w:val="28"/>
      <w:u w:val="single"/>
    </w:rPr>
  </w:style>
  <w:style w:type="character" w:customStyle="1" w:styleId="aa">
    <w:name w:val="כותרת טקסט תו"/>
    <w:basedOn w:val="a0"/>
    <w:link w:val="a9"/>
    <w:uiPriority w:val="10"/>
    <w:rPr>
      <w:rFonts w:asciiTheme="majorHAnsi" w:eastAsiaTheme="majorEastAsia" w:hAnsiTheme="majorHAnsi" w:cstheme="majorBidi"/>
      <w:b/>
      <w:bCs/>
      <w:kern w:val="28"/>
      <w:sz w:val="32"/>
      <w:szCs w:val="32"/>
      <w:lang w:eastAsia="he-IL"/>
    </w:rPr>
  </w:style>
  <w:style w:type="paragraph" w:styleId="ab">
    <w:name w:val="header"/>
    <w:basedOn w:val="a"/>
    <w:link w:val="ac"/>
    <w:uiPriority w:val="99"/>
    <w:pPr>
      <w:tabs>
        <w:tab w:val="center" w:pos="4153"/>
        <w:tab w:val="right" w:pos="8306"/>
      </w:tabs>
    </w:pPr>
  </w:style>
  <w:style w:type="character" w:customStyle="1" w:styleId="ac">
    <w:name w:val="כותרת עליונה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cs="Times New Roman"/>
    </w:rPr>
  </w:style>
  <w:style w:type="paragraph" w:styleId="ae">
    <w:name w:val="footer"/>
    <w:basedOn w:val="a"/>
    <w:link w:val="af"/>
    <w:uiPriority w:val="99"/>
    <w:pPr>
      <w:tabs>
        <w:tab w:val="center" w:pos="4153"/>
        <w:tab w:val="right" w:pos="8306"/>
      </w:tabs>
    </w:pPr>
  </w:style>
  <w:style w:type="character" w:customStyle="1" w:styleId="af">
    <w:name w:val="כותרת תחתונה תו"/>
    <w:basedOn w:val="a0"/>
    <w:link w:val="ae"/>
    <w:uiPriority w:val="99"/>
    <w:semiHidden/>
    <w:rPr>
      <w:rFonts w:ascii="Times New Roman" w:hAnsi="Times New Roman" w:cs="Times New Roman"/>
      <w:sz w:val="24"/>
      <w:szCs w:val="24"/>
      <w:lang w:eastAsia="he-IL"/>
    </w:rPr>
  </w:style>
  <w:style w:type="paragraph" w:styleId="af0">
    <w:name w:val="Body Text"/>
    <w:basedOn w:val="a"/>
    <w:link w:val="af1"/>
    <w:uiPriority w:val="99"/>
    <w:pPr>
      <w:jc w:val="both"/>
    </w:pPr>
    <w:rPr>
      <w:rFonts w:eastAsia="Times New Roman"/>
      <w:sz w:val="28"/>
      <w:szCs w:val="28"/>
    </w:rPr>
  </w:style>
  <w:style w:type="character" w:customStyle="1" w:styleId="af1">
    <w:name w:val="גוף טקסט תו"/>
    <w:basedOn w:val="a0"/>
    <w:link w:val="af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776</Words>
  <Characters>3880</Characters>
  <Application>Microsoft Office Word</Application>
  <DocSecurity>0</DocSecurity>
  <Lines>32</Lines>
  <Paragraphs>9</Paragraphs>
  <ScaleCrop>false</ScaleCrop>
  <Company>knesset</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 דמי אבטלה לעצמאיים), התשס"ד-2004</dc:title>
  <dc:subject/>
  <dc:creator>דפנה גבריאל</dc:creator>
  <cp:keywords/>
  <dc:description/>
  <cp:lastModifiedBy>שמואל כוכב</cp:lastModifiedBy>
  <cp:revision>2</cp:revision>
  <dcterms:created xsi:type="dcterms:W3CDTF">2015-02-03T17:09:00Z</dcterms:created>
  <dcterms:modified xsi:type="dcterms:W3CDTF">2015-02-03T17:09:00Z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17</vt:i4>
  </property>
  <property fmtid="{D5CDD505-2E9C-101B-9397-08002B2CF9AE}" pid="3" name="MisHatzaatChok">
    <vt:lpwstr>פ/1774/17</vt:lpwstr>
  </property>
  <property fmtid="{D5CDD505-2E9C-101B-9397-08002B2CF9AE}" pid="4" name="Nose">
    <vt:lpwstr>':שרותי משרד:כנסת 16:הצעות חוק פרטיות:מושב שני-הצח"פ(מ-1487)'_x000d__x000d_</vt:lpwstr>
  </property>
  <property fmtid="{D5CDD505-2E9C-101B-9397-08002B2CF9AE}" pid="5" name="YozemHatzaa_ChakList">
    <vt:lpwstr>אורית נוקד</vt:lpwstr>
  </property>
  <property fmtid="{D5CDD505-2E9C-101B-9397-08002B2CF9AE}" pid="6" name="סימוכין">
    <vt:i4>2701104</vt:i4>
  </property>
  <property fmtid="{D5CDD505-2E9C-101B-9397-08002B2CF9AE}" pid="7" name="תאריך המסמך">
    <vt:filetime>2004-07-28T22:00:00Z</vt:filetime>
  </property>
  <property fmtid="{D5CDD505-2E9C-101B-9397-08002B2CF9AE}" pid="8" name="CodeProfile">
    <vt:lpwstr>85</vt:lpwstr>
  </property>
  <property fmtid="{D5CDD505-2E9C-101B-9397-08002B2CF9AE}" pid="9" name="AutoNumber">
    <vt:lpwstr>05831606</vt:lpwstr>
  </property>
  <property fmtid="{D5CDD505-2E9C-101B-9397-08002B2CF9AE}" pid="10" name="SDDocDate">
    <vt:lpwstr>2006-11-30T00:00:00Z</vt:lpwstr>
  </property>
  <property fmtid="{D5CDD505-2E9C-101B-9397-08002B2CF9AE}" pid="11" name="SDHebDate">
    <vt:lpwstr>ט' בכסלו, התשס"ז</vt:lpwstr>
  </property>
  <property fmtid="{D5CDD505-2E9C-101B-9397-08002B2CF9AE}" pid="12" name="SDCategories">
    <vt:lpwstr>:דף הבית:נושאים:חקיקה:נוסח לדיון מוקדם;#</vt:lpwstr>
  </property>
  <property fmtid="{D5CDD505-2E9C-101B-9397-08002B2CF9AE}" pid="13" name="SDAuthor">
    <vt:lpwstr>עדי טייכר</vt:lpwstr>
  </property>
  <property fmtid="{D5CDD505-2E9C-101B-9397-08002B2CF9AE}" pid="14" name="מספר הצעת חוק למיון">
    <vt:lpwstr>1774</vt:lpwstr>
  </property>
  <property fmtid="{D5CDD505-2E9C-101B-9397-08002B2CF9AE}" pid="15" name="תאריך הנחה">
    <vt:lpwstr/>
  </property>
  <property fmtid="{D5CDD505-2E9C-101B-9397-08002B2CF9AE}" pid="16" name="Vaada">
    <vt:lpwstr/>
  </property>
  <property fmtid="{D5CDD505-2E9C-101B-9397-08002B2CF9AE}" pid="17" name="MechaberMismach">
    <vt:lpwstr/>
  </property>
  <property fmtid="{D5CDD505-2E9C-101B-9397-08002B2CF9AE}" pid="18" name="HebrewDate">
    <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y fmtid="{D5CDD505-2E9C-101B-9397-08002B2CF9AE}" pid="38" name="ItemID">
    <vt:lpwstr/>
  </property>
  <property fmtid="{D5CDD505-2E9C-101B-9397-08002B2CF9AE}" pid="39" name="DocID">
    <vt:lpwstr/>
  </property>
  <property fmtid="{D5CDD505-2E9C-101B-9397-08002B2CF9AE}" pid="40" name="YozemID">
    <vt:lpwstr/>
  </property>
</Properties>
</file>