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2401B">
      <w:pPr>
        <w:pStyle w:val="a3"/>
        <w:spacing w:line="360" w:lineRule="auto"/>
        <w:rPr>
          <w:rFonts w:cs="David"/>
          <w:b w:val="0"/>
          <w:bCs w:val="0"/>
          <w:u w:val="none"/>
          <w:rtl/>
        </w:rPr>
      </w:pPr>
      <w:bookmarkStart w:id="0" w:name="_GoBack"/>
      <w:bookmarkEnd w:id="0"/>
      <w:r>
        <w:rPr>
          <w:rFonts w:cs="David"/>
          <w:u w:val="none"/>
          <w:rtl/>
        </w:rPr>
        <w:t>הכנסת השבע-עשרה</w:t>
      </w:r>
    </w:p>
    <w:p w:rsidR="00000000" w:rsidRDefault="00B2401B">
      <w:pPr>
        <w:spacing w:line="360" w:lineRule="auto"/>
        <w:rPr>
          <w:rFonts w:cs="David"/>
          <w:sz w:val="28"/>
          <w:szCs w:val="28"/>
          <w:rtl/>
        </w:rPr>
      </w:pPr>
    </w:p>
    <w:tbl>
      <w:tblPr>
        <w:bidiVisual/>
        <w:tblW w:w="0" w:type="auto"/>
        <w:tblInd w:w="2475" w:type="dxa"/>
        <w:tblBorders>
          <w:bottom w:val="single" w:sz="4" w:space="0" w:color="auto"/>
        </w:tblBorders>
        <w:tblLook w:val="0000" w:firstRow="0" w:lastRow="0" w:firstColumn="0" w:lastColumn="0" w:noHBand="0" w:noVBand="0"/>
      </w:tblPr>
      <w:tblGrid>
        <w:gridCol w:w="3068"/>
        <w:gridCol w:w="1402"/>
      </w:tblGrid>
      <w:tr w:rsidR="00000000">
        <w:tblPrEx>
          <w:tblCellMar>
            <w:top w:w="0" w:type="dxa"/>
            <w:bottom w:w="0" w:type="dxa"/>
          </w:tblCellMar>
        </w:tblPrEx>
        <w:tc>
          <w:tcPr>
            <w:tcW w:w="3068" w:type="dxa"/>
            <w:tcBorders>
              <w:top w:val="nil"/>
              <w:left w:val="nil"/>
              <w:bottom w:val="single" w:sz="4" w:space="0" w:color="auto"/>
              <w:right w:val="nil"/>
            </w:tcBorders>
          </w:tcPr>
          <w:p w:rsidR="00000000" w:rsidRDefault="00B2401B">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p>
        </w:tc>
        <w:tc>
          <w:tcPr>
            <w:tcW w:w="1402" w:type="dxa"/>
            <w:tcBorders>
              <w:top w:val="nil"/>
              <w:left w:val="nil"/>
              <w:bottom w:val="single" w:sz="4" w:space="0" w:color="auto"/>
              <w:right w:val="nil"/>
            </w:tcBorders>
          </w:tcPr>
          <w:p w:rsidR="00000000" w:rsidRDefault="00B2401B">
            <w:pPr>
              <w:spacing w:after="120" w:line="360" w:lineRule="auto"/>
              <w:rPr>
                <w:rFonts w:cs="David"/>
                <w:b/>
                <w:bCs/>
                <w:sz w:val="26"/>
                <w:szCs w:val="26"/>
              </w:rPr>
            </w:pPr>
            <w:r>
              <w:rPr>
                <w:rFonts w:cs="David"/>
                <w:b/>
                <w:bCs/>
                <w:sz w:val="26"/>
                <w:szCs w:val="26"/>
                <w:rtl/>
              </w:rPr>
              <w:t>גלעד ארדן</w:t>
            </w:r>
          </w:p>
        </w:tc>
      </w:tr>
    </w:tbl>
    <w:p w:rsidR="00000000" w:rsidRDefault="00B2401B">
      <w:pPr>
        <w:spacing w:line="360" w:lineRule="auto"/>
        <w:rPr>
          <w:rFonts w:cs="David"/>
          <w:b/>
          <w:bCs/>
          <w:rtl/>
        </w:rPr>
      </w:pPr>
      <w:r>
        <w:rPr>
          <w:rFonts w:cs="David"/>
          <w:sz w:val="28"/>
          <w:szCs w:val="28"/>
          <w:rtl/>
        </w:rPr>
        <w:tab/>
      </w:r>
      <w:r>
        <w:rPr>
          <w:rFonts w:cs="David"/>
          <w:sz w:val="28"/>
          <w:szCs w:val="28"/>
          <w:rtl/>
        </w:rPr>
        <w:tab/>
      </w:r>
      <w:r>
        <w:rPr>
          <w:rFonts w:cs="David"/>
          <w:sz w:val="28"/>
          <w:szCs w:val="28"/>
          <w:rtl/>
        </w:rPr>
        <w:tab/>
      </w:r>
      <w:r>
        <w:rPr>
          <w:rFonts w:cs="David"/>
          <w:b/>
          <w:bCs/>
          <w:rtl/>
        </w:rPr>
        <w:t xml:space="preserve">                                                                       פ/896/17</w:t>
      </w:r>
    </w:p>
    <w:p w:rsidR="00000000" w:rsidRDefault="00B2401B">
      <w:pPr>
        <w:spacing w:line="360" w:lineRule="auto"/>
        <w:rPr>
          <w:rFonts w:cs="David"/>
          <w:b/>
          <w:bCs/>
          <w:rtl/>
        </w:rPr>
      </w:pPr>
    </w:p>
    <w:p w:rsidR="00000000" w:rsidRDefault="00B2401B">
      <w:pPr>
        <w:jc w:val="center"/>
        <w:rPr>
          <w:rFonts w:cs="David"/>
          <w:b/>
          <w:bCs/>
          <w:sz w:val="28"/>
          <w:szCs w:val="28"/>
          <w:rtl/>
        </w:rPr>
      </w:pPr>
      <w:r>
        <w:rPr>
          <w:rFonts w:cs="David"/>
          <w:b/>
          <w:bCs/>
          <w:sz w:val="28"/>
          <w:szCs w:val="28"/>
          <w:rtl/>
        </w:rPr>
        <w:t>הצעת חוק לתיקון פק</w:t>
      </w:r>
      <w:r>
        <w:rPr>
          <w:rFonts w:cs="David"/>
          <w:b/>
          <w:bCs/>
          <w:sz w:val="28"/>
          <w:szCs w:val="28"/>
          <w:rtl/>
        </w:rPr>
        <w:t>ודת התעבורה (פסילה בשל עבירה שגרמה למותו של אדם), התשס"ו-2006</w:t>
      </w:r>
    </w:p>
    <w:p w:rsidR="00000000" w:rsidRDefault="00B2401B">
      <w:pPr>
        <w:spacing w:line="360" w:lineRule="auto"/>
        <w:rPr>
          <w:rFonts w:cs="David"/>
          <w:sz w:val="28"/>
          <w:szCs w:val="28"/>
          <w:rtl/>
        </w:rPr>
      </w:pPr>
    </w:p>
    <w:tbl>
      <w:tblPr>
        <w:bidiVisual/>
        <w:tblW w:w="9360" w:type="dxa"/>
        <w:tblInd w:w="-483" w:type="dxa"/>
        <w:tblCellMar>
          <w:left w:w="57" w:type="dxa"/>
          <w:right w:w="57" w:type="dxa"/>
        </w:tblCellMar>
        <w:tblLook w:val="0000" w:firstRow="0" w:lastRow="0" w:firstColumn="0" w:lastColumn="0" w:noHBand="0" w:noVBand="0"/>
      </w:tblPr>
      <w:tblGrid>
        <w:gridCol w:w="1625"/>
        <w:gridCol w:w="549"/>
        <w:gridCol w:w="1191"/>
        <w:gridCol w:w="567"/>
        <w:gridCol w:w="567"/>
        <w:gridCol w:w="4861"/>
      </w:tblGrid>
      <w:tr w:rsidR="00000000">
        <w:tblPrEx>
          <w:tblCellMar>
            <w:top w:w="0" w:type="dxa"/>
            <w:bottom w:w="0" w:type="dxa"/>
          </w:tblCellMar>
        </w:tblPrEx>
        <w:trPr>
          <w:cantSplit/>
        </w:trPr>
        <w:tc>
          <w:tcPr>
            <w:tcW w:w="1625" w:type="dxa"/>
            <w:tcBorders>
              <w:top w:val="nil"/>
              <w:left w:val="nil"/>
              <w:bottom w:val="nil"/>
              <w:right w:val="nil"/>
            </w:tcBorders>
          </w:tcPr>
          <w:p w:rsidR="00000000" w:rsidRDefault="00B2401B">
            <w:pPr>
              <w:spacing w:after="120"/>
              <w:rPr>
                <w:rFonts w:cs="David"/>
                <w:sz w:val="26"/>
                <w:szCs w:val="26"/>
              </w:rPr>
            </w:pPr>
            <w:r>
              <w:rPr>
                <w:rFonts w:cs="David"/>
                <w:sz w:val="26"/>
                <w:szCs w:val="26"/>
                <w:rtl/>
              </w:rPr>
              <w:t>הוספת סעיף 46ב</w:t>
            </w:r>
          </w:p>
        </w:tc>
        <w:tc>
          <w:tcPr>
            <w:tcW w:w="549" w:type="dxa"/>
            <w:tcBorders>
              <w:top w:val="nil"/>
              <w:left w:val="nil"/>
              <w:bottom w:val="nil"/>
              <w:right w:val="nil"/>
            </w:tcBorders>
          </w:tcPr>
          <w:p w:rsidR="00000000" w:rsidRDefault="00B2401B">
            <w:pPr>
              <w:spacing w:after="120" w:line="360" w:lineRule="auto"/>
              <w:rPr>
                <w:rFonts w:cs="David"/>
                <w:sz w:val="26"/>
                <w:szCs w:val="26"/>
              </w:rPr>
            </w:pPr>
            <w:r>
              <w:rPr>
                <w:rFonts w:cs="David"/>
                <w:sz w:val="26"/>
                <w:szCs w:val="26"/>
                <w:rtl/>
              </w:rPr>
              <w:t>1.</w:t>
            </w:r>
          </w:p>
        </w:tc>
        <w:tc>
          <w:tcPr>
            <w:tcW w:w="7186" w:type="dxa"/>
            <w:gridSpan w:val="4"/>
            <w:tcBorders>
              <w:top w:val="nil"/>
              <w:left w:val="nil"/>
              <w:bottom w:val="nil"/>
              <w:right w:val="nil"/>
            </w:tcBorders>
          </w:tcPr>
          <w:p w:rsidR="00000000" w:rsidRDefault="00B2401B">
            <w:pPr>
              <w:spacing w:after="120" w:line="360" w:lineRule="auto"/>
              <w:jc w:val="both"/>
              <w:rPr>
                <w:rFonts w:cs="David"/>
                <w:sz w:val="26"/>
                <w:szCs w:val="26"/>
              </w:rPr>
            </w:pPr>
            <w:r>
              <w:rPr>
                <w:rFonts w:cs="David"/>
                <w:sz w:val="26"/>
                <w:szCs w:val="26"/>
                <w:rtl/>
              </w:rPr>
              <w:t>בפקודת התעבורה</w:t>
            </w:r>
            <w:r>
              <w:rPr>
                <w:rStyle w:val="aa"/>
                <w:rFonts w:cs="David"/>
                <w:sz w:val="26"/>
                <w:szCs w:val="26"/>
              </w:rPr>
              <w:footnoteReference w:id="1"/>
            </w:r>
            <w:r>
              <w:rPr>
                <w:rFonts w:cs="David"/>
                <w:sz w:val="26"/>
                <w:szCs w:val="26"/>
                <w:rtl/>
              </w:rPr>
              <w:t>, אחרי סעיף 46א יבוא:</w:t>
            </w:r>
          </w:p>
        </w:tc>
      </w:tr>
      <w:tr w:rsidR="00000000">
        <w:tblPrEx>
          <w:tblCellMar>
            <w:top w:w="0" w:type="dxa"/>
            <w:bottom w:w="0" w:type="dxa"/>
          </w:tblCellMar>
        </w:tblPrEx>
        <w:trPr>
          <w:cantSplit/>
        </w:trPr>
        <w:tc>
          <w:tcPr>
            <w:tcW w:w="1625" w:type="dxa"/>
            <w:tcBorders>
              <w:top w:val="nil"/>
              <w:left w:val="nil"/>
              <w:bottom w:val="nil"/>
              <w:right w:val="nil"/>
            </w:tcBorders>
          </w:tcPr>
          <w:p w:rsidR="00000000" w:rsidRDefault="00B2401B">
            <w:pPr>
              <w:spacing w:after="120" w:line="360" w:lineRule="auto"/>
              <w:rPr>
                <w:rFonts w:cs="David"/>
                <w:sz w:val="26"/>
                <w:szCs w:val="26"/>
              </w:rPr>
            </w:pPr>
          </w:p>
        </w:tc>
        <w:tc>
          <w:tcPr>
            <w:tcW w:w="549" w:type="dxa"/>
            <w:tcBorders>
              <w:top w:val="nil"/>
              <w:left w:val="nil"/>
              <w:bottom w:val="nil"/>
              <w:right w:val="nil"/>
            </w:tcBorders>
          </w:tcPr>
          <w:p w:rsidR="00000000" w:rsidRDefault="00B2401B">
            <w:pPr>
              <w:spacing w:after="120" w:line="360" w:lineRule="auto"/>
              <w:rPr>
                <w:rFonts w:cs="David"/>
                <w:sz w:val="26"/>
                <w:szCs w:val="26"/>
              </w:rPr>
            </w:pPr>
          </w:p>
        </w:tc>
        <w:tc>
          <w:tcPr>
            <w:tcW w:w="1191" w:type="dxa"/>
            <w:tcBorders>
              <w:top w:val="nil"/>
              <w:left w:val="nil"/>
              <w:bottom w:val="nil"/>
              <w:right w:val="nil"/>
            </w:tcBorders>
          </w:tcPr>
          <w:p w:rsidR="00000000" w:rsidRDefault="00B2401B">
            <w:pPr>
              <w:spacing w:after="120"/>
              <w:rPr>
                <w:rFonts w:cs="David"/>
                <w:sz w:val="26"/>
                <w:szCs w:val="26"/>
              </w:rPr>
            </w:pPr>
            <w:r>
              <w:rPr>
                <w:rFonts w:cs="David"/>
                <w:sz w:val="26"/>
                <w:szCs w:val="26"/>
                <w:rtl/>
              </w:rPr>
              <w:t>"פסילה בשל עבירה שגרמה למותו של אדם</w:t>
            </w:r>
          </w:p>
        </w:tc>
        <w:tc>
          <w:tcPr>
            <w:tcW w:w="567" w:type="dxa"/>
            <w:tcBorders>
              <w:top w:val="nil"/>
              <w:left w:val="nil"/>
              <w:bottom w:val="nil"/>
              <w:right w:val="nil"/>
            </w:tcBorders>
          </w:tcPr>
          <w:p w:rsidR="00000000" w:rsidRDefault="00B2401B">
            <w:pPr>
              <w:spacing w:after="120" w:line="360" w:lineRule="auto"/>
              <w:rPr>
                <w:rFonts w:cs="David"/>
                <w:sz w:val="26"/>
                <w:szCs w:val="26"/>
              </w:rPr>
            </w:pPr>
            <w:r>
              <w:rPr>
                <w:rFonts w:cs="David"/>
                <w:sz w:val="26"/>
                <w:szCs w:val="26"/>
                <w:rtl/>
              </w:rPr>
              <w:t>46ב.</w:t>
            </w:r>
          </w:p>
        </w:tc>
        <w:tc>
          <w:tcPr>
            <w:tcW w:w="567" w:type="dxa"/>
            <w:tcBorders>
              <w:top w:val="nil"/>
              <w:left w:val="nil"/>
              <w:bottom w:val="nil"/>
              <w:right w:val="nil"/>
            </w:tcBorders>
          </w:tcPr>
          <w:p w:rsidR="00000000" w:rsidRDefault="00B2401B">
            <w:pPr>
              <w:spacing w:after="120" w:line="360" w:lineRule="auto"/>
              <w:rPr>
                <w:rFonts w:cs="David"/>
                <w:sz w:val="26"/>
                <w:szCs w:val="26"/>
              </w:rPr>
            </w:pPr>
            <w:r>
              <w:rPr>
                <w:rFonts w:cs="David"/>
                <w:sz w:val="26"/>
                <w:szCs w:val="26"/>
                <w:rtl/>
              </w:rPr>
              <w:t>(א)</w:t>
            </w:r>
          </w:p>
        </w:tc>
        <w:tc>
          <w:tcPr>
            <w:tcW w:w="4861" w:type="dxa"/>
            <w:tcBorders>
              <w:top w:val="nil"/>
              <w:left w:val="nil"/>
              <w:bottom w:val="nil"/>
              <w:right w:val="nil"/>
            </w:tcBorders>
          </w:tcPr>
          <w:p w:rsidR="00000000" w:rsidRDefault="00B2401B">
            <w:pPr>
              <w:spacing w:after="120" w:line="360" w:lineRule="auto"/>
              <w:jc w:val="both"/>
              <w:rPr>
                <w:rFonts w:cs="David"/>
                <w:sz w:val="26"/>
                <w:szCs w:val="26"/>
              </w:rPr>
            </w:pPr>
            <w:r>
              <w:rPr>
                <w:rFonts w:cs="David"/>
                <w:sz w:val="26"/>
                <w:szCs w:val="26"/>
                <w:rtl/>
              </w:rPr>
              <w:t>הוגש כתב אישום נגד בעל רשיון נהיגה בעבירה שגרמה ל</w:t>
            </w:r>
            <w:r>
              <w:rPr>
                <w:rFonts w:cs="David"/>
                <w:sz w:val="26"/>
                <w:szCs w:val="26"/>
                <w:rtl/>
              </w:rPr>
              <w:t>תאונת דרכים ובגינה נגרם מותו של אדם, יורה בית המשפט על פסילתו מהחזיק רשיון נהיגה עד לגמר בירור דינו, ואולם בית המשפט רשאי לדחות את הפסילה למועד שיקבע.</w:t>
            </w:r>
          </w:p>
        </w:tc>
      </w:tr>
      <w:tr w:rsidR="00000000">
        <w:tblPrEx>
          <w:tblCellMar>
            <w:top w:w="0" w:type="dxa"/>
            <w:bottom w:w="0" w:type="dxa"/>
          </w:tblCellMar>
        </w:tblPrEx>
        <w:trPr>
          <w:cantSplit/>
        </w:trPr>
        <w:tc>
          <w:tcPr>
            <w:tcW w:w="1625" w:type="dxa"/>
            <w:tcBorders>
              <w:top w:val="nil"/>
              <w:left w:val="nil"/>
              <w:bottom w:val="nil"/>
              <w:right w:val="nil"/>
            </w:tcBorders>
          </w:tcPr>
          <w:p w:rsidR="00000000" w:rsidRDefault="00B2401B">
            <w:pPr>
              <w:spacing w:after="120" w:line="360" w:lineRule="auto"/>
              <w:rPr>
                <w:rFonts w:cs="David"/>
                <w:sz w:val="26"/>
                <w:szCs w:val="26"/>
              </w:rPr>
            </w:pPr>
          </w:p>
        </w:tc>
        <w:tc>
          <w:tcPr>
            <w:tcW w:w="549" w:type="dxa"/>
            <w:tcBorders>
              <w:top w:val="nil"/>
              <w:left w:val="nil"/>
              <w:bottom w:val="nil"/>
              <w:right w:val="nil"/>
            </w:tcBorders>
          </w:tcPr>
          <w:p w:rsidR="00000000" w:rsidRDefault="00B2401B">
            <w:pPr>
              <w:spacing w:after="120" w:line="360" w:lineRule="auto"/>
              <w:rPr>
                <w:rFonts w:cs="David"/>
                <w:sz w:val="26"/>
                <w:szCs w:val="26"/>
              </w:rPr>
            </w:pPr>
          </w:p>
        </w:tc>
        <w:tc>
          <w:tcPr>
            <w:tcW w:w="1191" w:type="dxa"/>
            <w:tcBorders>
              <w:top w:val="nil"/>
              <w:left w:val="nil"/>
              <w:bottom w:val="nil"/>
              <w:right w:val="nil"/>
            </w:tcBorders>
          </w:tcPr>
          <w:p w:rsidR="00000000" w:rsidRDefault="00B2401B">
            <w:pPr>
              <w:spacing w:after="120" w:line="360" w:lineRule="auto"/>
              <w:rPr>
                <w:rFonts w:cs="David"/>
                <w:sz w:val="26"/>
                <w:szCs w:val="26"/>
              </w:rPr>
            </w:pPr>
          </w:p>
        </w:tc>
        <w:tc>
          <w:tcPr>
            <w:tcW w:w="567" w:type="dxa"/>
            <w:tcBorders>
              <w:top w:val="nil"/>
              <w:left w:val="nil"/>
              <w:bottom w:val="nil"/>
              <w:right w:val="nil"/>
            </w:tcBorders>
          </w:tcPr>
          <w:p w:rsidR="00000000" w:rsidRDefault="00B2401B">
            <w:pPr>
              <w:spacing w:after="120" w:line="360" w:lineRule="auto"/>
              <w:rPr>
                <w:rFonts w:cs="David"/>
                <w:sz w:val="26"/>
                <w:szCs w:val="26"/>
              </w:rPr>
            </w:pPr>
          </w:p>
        </w:tc>
        <w:tc>
          <w:tcPr>
            <w:tcW w:w="567" w:type="dxa"/>
            <w:tcBorders>
              <w:top w:val="nil"/>
              <w:left w:val="nil"/>
              <w:bottom w:val="nil"/>
              <w:right w:val="nil"/>
            </w:tcBorders>
          </w:tcPr>
          <w:p w:rsidR="00000000" w:rsidRDefault="00B2401B">
            <w:pPr>
              <w:spacing w:after="120" w:line="360" w:lineRule="auto"/>
              <w:rPr>
                <w:rFonts w:cs="David"/>
                <w:sz w:val="26"/>
                <w:szCs w:val="26"/>
              </w:rPr>
            </w:pPr>
            <w:r>
              <w:rPr>
                <w:rFonts w:cs="David"/>
                <w:sz w:val="26"/>
                <w:szCs w:val="26"/>
                <w:rtl/>
              </w:rPr>
              <w:t>(ב)</w:t>
            </w:r>
          </w:p>
        </w:tc>
        <w:tc>
          <w:tcPr>
            <w:tcW w:w="4861" w:type="dxa"/>
            <w:tcBorders>
              <w:top w:val="nil"/>
              <w:left w:val="nil"/>
              <w:bottom w:val="nil"/>
              <w:right w:val="nil"/>
            </w:tcBorders>
          </w:tcPr>
          <w:p w:rsidR="00000000" w:rsidRDefault="00B2401B">
            <w:pPr>
              <w:spacing w:after="120" w:line="360" w:lineRule="auto"/>
              <w:jc w:val="both"/>
              <w:rPr>
                <w:rFonts w:cs="David"/>
                <w:sz w:val="26"/>
                <w:szCs w:val="26"/>
              </w:rPr>
            </w:pPr>
            <w:r>
              <w:rPr>
                <w:rFonts w:cs="David"/>
                <w:sz w:val="26"/>
                <w:szCs w:val="26"/>
                <w:rtl/>
              </w:rPr>
              <w:t>בית המשפט רשאי שלא להורות על פסילת רשיון הנהיגה כאמור בסעיף קטן (א), אם שוכנע, מנימוקים שיירשמו</w:t>
            </w:r>
            <w:r>
              <w:rPr>
                <w:rFonts w:cs="David"/>
                <w:sz w:val="26"/>
                <w:szCs w:val="26"/>
                <w:rtl/>
              </w:rPr>
              <w:t xml:space="preserve">, כי אין בהמשך הנהיגה על ידי הנאשם משום סכנה לציבור."  </w:t>
            </w:r>
          </w:p>
        </w:tc>
      </w:tr>
    </w:tbl>
    <w:p w:rsidR="00000000" w:rsidRDefault="00B2401B">
      <w:pPr>
        <w:spacing w:line="360" w:lineRule="auto"/>
        <w:rPr>
          <w:rFonts w:cs="David"/>
          <w:sz w:val="28"/>
          <w:szCs w:val="28"/>
          <w:rtl/>
        </w:rPr>
      </w:pPr>
    </w:p>
    <w:p w:rsidR="00000000" w:rsidRDefault="00B2401B">
      <w:pPr>
        <w:spacing w:line="360" w:lineRule="auto"/>
        <w:jc w:val="center"/>
        <w:rPr>
          <w:rFonts w:cs="David"/>
          <w:sz w:val="28"/>
          <w:szCs w:val="28"/>
          <w:rtl/>
        </w:rPr>
      </w:pPr>
      <w:r>
        <w:rPr>
          <w:rFonts w:cs="David"/>
          <w:b/>
          <w:bCs/>
          <w:sz w:val="28"/>
          <w:szCs w:val="28"/>
          <w:u w:val="single"/>
          <w:rtl/>
        </w:rPr>
        <w:t>דברי - הסבר</w:t>
      </w:r>
    </w:p>
    <w:p w:rsidR="00000000" w:rsidRDefault="00B2401B">
      <w:pPr>
        <w:jc w:val="both"/>
        <w:rPr>
          <w:rFonts w:cs="David"/>
          <w:sz w:val="26"/>
          <w:szCs w:val="26"/>
          <w:rtl/>
        </w:rPr>
      </w:pPr>
      <w:r>
        <w:rPr>
          <w:rFonts w:cs="David"/>
          <w:sz w:val="26"/>
          <w:szCs w:val="26"/>
          <w:rtl/>
        </w:rPr>
        <w:t>בשנת 2005 אירעו בישראל 381 תאונות דרכים קטלניות, אשר גבו את חייהם של 448 בני אדם. אחוז גבוה  מתאונות הדרכים הקטלניות נגרם בשל עבירות תנועה.</w:t>
      </w:r>
    </w:p>
    <w:p w:rsidR="00000000" w:rsidRDefault="00B2401B">
      <w:pPr>
        <w:jc w:val="both"/>
        <w:rPr>
          <w:rFonts w:cs="David"/>
          <w:sz w:val="26"/>
          <w:szCs w:val="26"/>
          <w:rtl/>
        </w:rPr>
      </w:pPr>
    </w:p>
    <w:p w:rsidR="00000000" w:rsidRDefault="00B2401B">
      <w:pPr>
        <w:jc w:val="both"/>
        <w:rPr>
          <w:rFonts w:cs="David"/>
          <w:sz w:val="26"/>
          <w:szCs w:val="26"/>
          <w:rtl/>
        </w:rPr>
      </w:pPr>
      <w:r>
        <w:rPr>
          <w:rFonts w:cs="David"/>
          <w:sz w:val="26"/>
          <w:szCs w:val="26"/>
          <w:rtl/>
        </w:rPr>
        <w:t xml:space="preserve">המצב הקיים מאפשר עקרונית לנהג שהוגש נגדו כתב </w:t>
      </w:r>
      <w:r>
        <w:rPr>
          <w:rFonts w:cs="David"/>
          <w:sz w:val="26"/>
          <w:szCs w:val="26"/>
          <w:rtl/>
        </w:rPr>
        <w:t>אישום בגין עבירה, שגרמה לתאונת דרכים קטלנית לחזור ולנהוג עד שיסתיים משפטו. הצעת החוק תשלול באופן אוטומטי את רשיון הנהיגה של נהג שהוחלט להעמידו לדין, והשלילה תהיה עד תום ההליכים המשפטיים אלא אם יחליט בית המשפט אחרת.</w:t>
      </w:r>
    </w:p>
    <w:p w:rsidR="00000000" w:rsidRDefault="00B2401B">
      <w:pPr>
        <w:jc w:val="both"/>
        <w:rPr>
          <w:rFonts w:cs="David"/>
          <w:sz w:val="26"/>
          <w:szCs w:val="26"/>
          <w:rtl/>
        </w:rPr>
      </w:pPr>
    </w:p>
    <w:p w:rsidR="00000000" w:rsidRDefault="00B2401B">
      <w:pPr>
        <w:jc w:val="both"/>
        <w:rPr>
          <w:rFonts w:cs="David"/>
          <w:sz w:val="26"/>
          <w:szCs w:val="26"/>
          <w:rtl/>
        </w:rPr>
      </w:pPr>
      <w:r>
        <w:rPr>
          <w:rFonts w:cs="David"/>
          <w:sz w:val="26"/>
          <w:szCs w:val="26"/>
          <w:rtl/>
        </w:rPr>
        <w:t>הצעת החוק במקשת להביא למצב, לפיו אדם שהר</w:t>
      </w:r>
      <w:r>
        <w:rPr>
          <w:rFonts w:cs="David"/>
          <w:sz w:val="26"/>
          <w:szCs w:val="26"/>
          <w:rtl/>
        </w:rPr>
        <w:t>ג אדם אחר בתאונת דרכים והוגש נגדו כתב אישום, לא ימשיך לנהוג ולסכן בנהיגתו את הציבור, אלא אם כן בית המשפט סבור שהמשך נהיגתו אינו מסוכן לכלל.</w:t>
      </w:r>
    </w:p>
    <w:p w:rsidR="00000000" w:rsidRDefault="00B2401B">
      <w:pPr>
        <w:jc w:val="both"/>
        <w:rPr>
          <w:rFonts w:cs="David"/>
          <w:sz w:val="26"/>
          <w:szCs w:val="26"/>
          <w:rtl/>
        </w:rPr>
      </w:pPr>
      <w:r>
        <w:rPr>
          <w:rFonts w:cs="David"/>
          <w:sz w:val="26"/>
          <w:szCs w:val="26"/>
          <w:rtl/>
        </w:rPr>
        <w:t xml:space="preserve">   </w:t>
      </w:r>
    </w:p>
    <w:p w:rsidR="00000000" w:rsidRDefault="00B2401B">
      <w:pPr>
        <w:jc w:val="both"/>
        <w:rPr>
          <w:rFonts w:cs="David"/>
          <w:sz w:val="26"/>
          <w:szCs w:val="26"/>
          <w:rtl/>
        </w:rPr>
      </w:pPr>
      <w:r>
        <w:rPr>
          <w:rFonts w:cs="David"/>
          <w:sz w:val="26"/>
          <w:szCs w:val="26"/>
          <w:rtl/>
        </w:rPr>
        <w:t>הצעת חוק זהה הונחה על שולחן הכנסת השש-עשרה על-ידי חבר הכנסת גלעד ארדן (פ/3562).</w:t>
      </w:r>
    </w:p>
    <w:p w:rsidR="00000000" w:rsidRDefault="00B2401B">
      <w:pPr>
        <w:jc w:val="both"/>
        <w:rPr>
          <w:rFonts w:cs="David"/>
          <w:sz w:val="26"/>
          <w:szCs w:val="26"/>
          <w:rtl/>
        </w:rPr>
      </w:pPr>
    </w:p>
    <w:p w:rsidR="00000000" w:rsidRDefault="00B2401B">
      <w:pPr>
        <w:jc w:val="both"/>
        <w:rPr>
          <w:rFonts w:cs="David"/>
          <w:sz w:val="26"/>
          <w:szCs w:val="26"/>
          <w:rtl/>
        </w:rPr>
      </w:pPr>
      <w:r>
        <w:rPr>
          <w:rFonts w:cs="David"/>
          <w:sz w:val="26"/>
          <w:szCs w:val="26"/>
          <w:rtl/>
        </w:rPr>
        <w:t>-------------------------------</w:t>
      </w:r>
      <w:r>
        <w:rPr>
          <w:rFonts w:cs="David"/>
          <w:sz w:val="26"/>
          <w:szCs w:val="26"/>
          <w:rtl/>
        </w:rPr>
        <w:t>--</w:t>
      </w:r>
    </w:p>
    <w:p w:rsidR="00000000" w:rsidRDefault="00B2401B">
      <w:pPr>
        <w:jc w:val="both"/>
        <w:rPr>
          <w:rFonts w:cs="David"/>
          <w:sz w:val="26"/>
          <w:szCs w:val="26"/>
          <w:rtl/>
        </w:rPr>
      </w:pPr>
      <w:r>
        <w:rPr>
          <w:rFonts w:cs="David"/>
          <w:sz w:val="26"/>
          <w:szCs w:val="26"/>
          <w:rtl/>
        </w:rPr>
        <w:t>הוגשה ליו"ר הכנסת והסגנים</w:t>
      </w:r>
    </w:p>
    <w:p w:rsidR="00000000" w:rsidRDefault="00B2401B">
      <w:pPr>
        <w:jc w:val="both"/>
        <w:rPr>
          <w:rFonts w:cs="David"/>
          <w:sz w:val="26"/>
          <w:szCs w:val="26"/>
          <w:rtl/>
        </w:rPr>
      </w:pPr>
      <w:r>
        <w:rPr>
          <w:rFonts w:cs="David"/>
          <w:sz w:val="26"/>
          <w:szCs w:val="26"/>
          <w:rtl/>
        </w:rPr>
        <w:t>והונחה על שולחן הכנסת ביום</w:t>
      </w:r>
    </w:p>
    <w:p w:rsidR="00000000" w:rsidRDefault="00B2401B">
      <w:pPr>
        <w:jc w:val="both"/>
        <w:rPr>
          <w:rFonts w:cs="David"/>
          <w:sz w:val="26"/>
          <w:szCs w:val="26"/>
          <w:rtl/>
        </w:rPr>
      </w:pPr>
      <w:r>
        <w:rPr>
          <w:rFonts w:cs="David"/>
          <w:sz w:val="26"/>
          <w:szCs w:val="26"/>
          <w:rtl/>
        </w:rPr>
        <w:t>י"ד בתמוז התשס"ו – 10.7.06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2401B">
      <w:r>
        <w:separator/>
      </w:r>
    </w:p>
  </w:endnote>
  <w:endnote w:type="continuationSeparator" w:id="0">
    <w:p w:rsidR="00000000" w:rsidRDefault="00B24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2401B">
      <w:r>
        <w:separator/>
      </w:r>
    </w:p>
  </w:footnote>
  <w:footnote w:type="continuationSeparator" w:id="0">
    <w:p w:rsidR="00000000" w:rsidRDefault="00B2401B">
      <w:r>
        <w:continuationSeparator/>
      </w:r>
    </w:p>
  </w:footnote>
  <w:footnote w:id="1">
    <w:p w:rsidR="00000000" w:rsidRDefault="00B2401B">
      <w:pPr>
        <w:pStyle w:val="a8"/>
      </w:pPr>
      <w:r>
        <w:rPr>
          <w:rStyle w:val="aa"/>
          <w:rFonts w:cs="David"/>
        </w:rPr>
        <w:footnoteRef/>
      </w:r>
      <w:r>
        <w:rPr>
          <w:rFonts w:cs="David"/>
        </w:rPr>
        <w:t xml:space="preserve"> </w:t>
      </w:r>
      <w:r>
        <w:rPr>
          <w:rFonts w:cs="David"/>
          <w:rtl/>
        </w:rPr>
        <w:t>דיני מדינת ישראל, נוסח חדש 7, עמ' 173.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2401B">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B2401B">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2740àøãï-ô÷åãú äúòáåøä(ôñéìä áùì òáéøä ùâøîä ìîåúå ùì àãí).doc"/>
    <w:docVar w:name="StartMode" w:val="2"/>
  </w:docVars>
  <w:rsids>
    <w:rsidRoot w:val="00B2401B"/>
    <w:rsid w:val="00B24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1229</Characters>
  <Application>Microsoft Office Word</Application>
  <DocSecurity>0</DocSecurity>
  <Lines>10</Lines>
  <Paragraphs>2</Paragraphs>
  <ScaleCrop>false</ScaleCrop>
  <Company>knesset</Company>
  <LinksUpToDate>false</LinksUpToDate>
  <CharactersWithSpaces>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(פסילה בשל עבירה שגרמה למותו של אדם), התשס"ו-2006</dc:title>
  <dc:subject/>
  <dc:creator>Knesset</dc:creator>
  <cp:keywords/>
  <dc:description/>
  <cp:lastModifiedBy>שמואל כוכב</cp:lastModifiedBy>
  <cp:revision>2</cp:revision>
  <cp:lastPrinted>2006-07-03T06:20:00Z</cp:lastPrinted>
  <dcterms:created xsi:type="dcterms:W3CDTF">2015-02-03T19:34:00Z</dcterms:created>
  <dcterms:modified xsi:type="dcterms:W3CDTF">2015-02-03T19:34:00Z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גלעד ארדן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03645606</vt:lpwstr>
  </property>
  <property fmtid="{D5CDD505-2E9C-101B-9397-08002B2CF9AE}" pid="10" name="מספר הצעת חוק למיון">
    <vt:lpwstr>896</vt:lpwstr>
  </property>
  <property fmtid="{D5CDD505-2E9C-101B-9397-08002B2CF9AE}" pid="11" name="SDDocDate">
    <vt:lpwstr>2006-07-03T00:00:00Z</vt:lpwstr>
  </property>
  <property fmtid="{D5CDD505-2E9C-101B-9397-08002B2CF9AE}" pid="12" name="SDHebDate">
    <vt:lpwstr>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פ/896/17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