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D2609">
      <w:pPr>
        <w:pStyle w:val="a3"/>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DD2609">
      <w:pPr>
        <w:spacing w:line="360" w:lineRule="auto"/>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068"/>
      </w:tblGrid>
      <w:tr w:rsidR="00000000">
        <w:tblPrEx>
          <w:tblCellMar>
            <w:top w:w="0" w:type="dxa"/>
            <w:bottom w:w="0" w:type="dxa"/>
          </w:tblCellMar>
        </w:tblPrEx>
        <w:tc>
          <w:tcPr>
            <w:tcW w:w="4068" w:type="dxa"/>
            <w:tcBorders>
              <w:top w:val="nil"/>
              <w:left w:val="nil"/>
              <w:bottom w:val="single" w:sz="4" w:space="0" w:color="auto"/>
              <w:right w:val="nil"/>
            </w:tcBorders>
          </w:tcPr>
          <w:p w:rsidR="00000000" w:rsidRDefault="00DD2609">
            <w:pPr>
              <w:spacing w:after="120" w:line="360" w:lineRule="auto"/>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bookmarkStart w:id="1" w:name="YozemHatzaa_ChakList"/>
            <w:r>
              <w:rPr>
                <w:rFonts w:cs="David"/>
                <w:b/>
                <w:bCs/>
                <w:sz w:val="26"/>
                <w:szCs w:val="26"/>
                <w:rtl/>
              </w:rPr>
              <w:fldChar w:fldCharType="begin">
                <w:ffData>
                  <w:name w:val="YozemHatzaa_ChakList"/>
                  <w:enabled/>
                  <w:calcOnExit w:val="0"/>
                  <w:textInput/>
                </w:ffData>
              </w:fldChar>
            </w:r>
            <w:r>
              <w:rPr>
                <w:rFonts w:cs="David"/>
                <w:b/>
                <w:bCs/>
                <w:sz w:val="26"/>
                <w:szCs w:val="26"/>
                <w:rtl/>
              </w:rPr>
              <w:instrText xml:space="preserve"> </w:instrText>
            </w:r>
            <w:r>
              <w:rPr>
                <w:rFonts w:cs="David"/>
                <w:b/>
                <w:bCs/>
                <w:sz w:val="26"/>
                <w:szCs w:val="26"/>
              </w:rPr>
              <w:instrText>FORMTEXT</w:instrText>
            </w:r>
            <w:r>
              <w:rPr>
                <w:rFonts w:cs="David"/>
                <w:b/>
                <w:bCs/>
                <w:sz w:val="26"/>
                <w:szCs w:val="26"/>
                <w:rtl/>
              </w:rPr>
              <w:instrText xml:space="preserve"> </w:instrText>
            </w:r>
            <w:r>
              <w:rPr>
                <w:rFonts w:cs="David"/>
                <w:b/>
                <w:bCs/>
                <w:sz w:val="26"/>
                <w:szCs w:val="26"/>
                <w:rtl/>
              </w:rPr>
            </w:r>
            <w:r>
              <w:rPr>
                <w:rFonts w:cs="David"/>
                <w:b/>
                <w:bCs/>
                <w:sz w:val="26"/>
                <w:szCs w:val="26"/>
                <w:rtl/>
              </w:rPr>
              <w:fldChar w:fldCharType="separate"/>
            </w:r>
            <w:r>
              <w:rPr>
                <w:rFonts w:cs="David"/>
                <w:b/>
                <w:bCs/>
                <w:sz w:val="26"/>
                <w:szCs w:val="26"/>
                <w:rtl/>
              </w:rPr>
              <w:t>אבשלום וי</w:t>
            </w:r>
            <w:r>
              <w:rPr>
                <w:rFonts w:cs="David"/>
                <w:b/>
                <w:bCs/>
                <w:sz w:val="26"/>
                <w:szCs w:val="26"/>
                <w:rtl/>
              </w:rPr>
              <w:t>לן</w:t>
            </w:r>
            <w:r>
              <w:rPr>
                <w:rFonts w:cs="David"/>
                <w:b/>
                <w:bCs/>
                <w:sz w:val="26"/>
                <w:szCs w:val="26"/>
                <w:rtl/>
              </w:rPr>
              <w:fldChar w:fldCharType="end"/>
            </w:r>
            <w:bookmarkEnd w:id="1"/>
          </w:p>
        </w:tc>
      </w:tr>
    </w:tbl>
    <w:p w:rsidR="00000000" w:rsidRDefault="00DD2609">
      <w:pPr>
        <w:spacing w:line="360" w:lineRule="auto"/>
        <w:jc w:val="center"/>
        <w:rPr>
          <w:rFonts w:cs="David"/>
          <w:b/>
          <w:bCs/>
          <w:rtl/>
        </w:rPr>
      </w:pPr>
      <w:r>
        <w:rPr>
          <w:rFonts w:cs="David"/>
          <w:sz w:val="26"/>
          <w:szCs w:val="26"/>
          <w:rtl/>
        </w:rPr>
        <w:tab/>
      </w:r>
      <w:r>
        <w:rPr>
          <w:rFonts w:cs="David"/>
          <w:sz w:val="26"/>
          <w:szCs w:val="26"/>
          <w:rtl/>
        </w:rPr>
        <w:tab/>
      </w:r>
      <w:r>
        <w:rPr>
          <w:rFonts w:cs="David"/>
          <w:sz w:val="26"/>
          <w:szCs w:val="26"/>
          <w:rtl/>
        </w:rPr>
        <w:tab/>
        <w:t xml:space="preserve">                                                        </w:t>
      </w:r>
      <w:r>
        <w:rPr>
          <w:rFonts w:cs="David"/>
          <w:b/>
          <w:bCs/>
          <w:rtl/>
        </w:rPr>
        <w:t>פ/85/17</w:t>
      </w:r>
    </w:p>
    <w:p w:rsidR="00000000" w:rsidRDefault="00DD2609">
      <w:pPr>
        <w:spacing w:line="360" w:lineRule="auto"/>
        <w:rPr>
          <w:rFonts w:cs="David"/>
          <w:sz w:val="26"/>
          <w:szCs w:val="26"/>
          <w:rtl/>
        </w:rPr>
      </w:pPr>
    </w:p>
    <w:p w:rsidR="00000000" w:rsidRDefault="00DD2609">
      <w:pPr>
        <w:pStyle w:val="1"/>
        <w:spacing w:line="360" w:lineRule="auto"/>
        <w:rPr>
          <w:rFonts w:cs="David"/>
          <w:b w:val="0"/>
          <w:bCs w:val="0"/>
          <w:sz w:val="26"/>
          <w:szCs w:val="26"/>
          <w:u w:val="none"/>
          <w:rtl/>
        </w:rPr>
      </w:pPr>
      <w:r>
        <w:rPr>
          <w:rFonts w:cs="David"/>
          <w:u w:val="none"/>
          <w:rtl/>
        </w:rPr>
        <w:t>הצעת חוק הממשלה (תיקון –  כשירות שר הביטחון), התשס"ו-2006</w:t>
      </w:r>
    </w:p>
    <w:p w:rsidR="00000000" w:rsidRDefault="00DD2609">
      <w:pPr>
        <w:spacing w:line="360" w:lineRule="auto"/>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62"/>
        <w:gridCol w:w="549"/>
        <w:gridCol w:w="567"/>
        <w:gridCol w:w="567"/>
        <w:gridCol w:w="5575"/>
      </w:tblGrid>
      <w:tr w:rsidR="00000000">
        <w:tblPrEx>
          <w:tblCellMar>
            <w:top w:w="0" w:type="dxa"/>
            <w:bottom w:w="0" w:type="dxa"/>
          </w:tblCellMar>
        </w:tblPrEx>
        <w:trPr>
          <w:cantSplit/>
        </w:trPr>
        <w:tc>
          <w:tcPr>
            <w:tcW w:w="1162" w:type="dxa"/>
            <w:tcBorders>
              <w:top w:val="nil"/>
              <w:left w:val="nil"/>
              <w:bottom w:val="nil"/>
              <w:right w:val="nil"/>
            </w:tcBorders>
          </w:tcPr>
          <w:p w:rsidR="00000000" w:rsidRDefault="00DD2609">
            <w:pPr>
              <w:spacing w:after="120"/>
              <w:rPr>
                <w:rFonts w:cs="David"/>
                <w:sz w:val="26"/>
                <w:szCs w:val="26"/>
              </w:rPr>
            </w:pPr>
            <w:r>
              <w:rPr>
                <w:rFonts w:cs="David"/>
                <w:sz w:val="26"/>
                <w:szCs w:val="26"/>
                <w:rtl/>
              </w:rPr>
              <w:t>תיקון סעיף 5א</w:t>
            </w:r>
          </w:p>
        </w:tc>
        <w:tc>
          <w:tcPr>
            <w:tcW w:w="549" w:type="dxa"/>
            <w:tcBorders>
              <w:top w:val="nil"/>
              <w:left w:val="nil"/>
              <w:bottom w:val="nil"/>
              <w:right w:val="nil"/>
            </w:tcBorders>
          </w:tcPr>
          <w:p w:rsidR="00000000" w:rsidRDefault="00DD2609">
            <w:pPr>
              <w:spacing w:after="120" w:line="360" w:lineRule="auto"/>
              <w:rPr>
                <w:rFonts w:cs="David"/>
                <w:sz w:val="26"/>
                <w:szCs w:val="26"/>
              </w:rPr>
            </w:pPr>
            <w:r>
              <w:rPr>
                <w:rFonts w:cs="David"/>
                <w:sz w:val="26"/>
                <w:szCs w:val="26"/>
                <w:rtl/>
              </w:rPr>
              <w:t>1.</w:t>
            </w:r>
          </w:p>
        </w:tc>
        <w:tc>
          <w:tcPr>
            <w:tcW w:w="6709" w:type="dxa"/>
            <w:gridSpan w:val="3"/>
            <w:tcBorders>
              <w:top w:val="nil"/>
              <w:left w:val="nil"/>
              <w:bottom w:val="nil"/>
              <w:right w:val="nil"/>
            </w:tcBorders>
          </w:tcPr>
          <w:p w:rsidR="00000000" w:rsidRDefault="00DD2609">
            <w:pPr>
              <w:spacing w:after="120" w:line="360" w:lineRule="auto"/>
              <w:jc w:val="both"/>
              <w:rPr>
                <w:rFonts w:cs="David"/>
                <w:sz w:val="26"/>
                <w:szCs w:val="26"/>
              </w:rPr>
            </w:pPr>
            <w:r>
              <w:rPr>
                <w:rFonts w:cs="David"/>
                <w:sz w:val="26"/>
                <w:szCs w:val="26"/>
                <w:rtl/>
              </w:rPr>
              <w:t>בחוק הממשל</w:t>
            </w:r>
            <w:r>
              <w:rPr>
                <w:rFonts w:cs="David"/>
                <w:sz w:val="26"/>
                <w:szCs w:val="26"/>
                <w:rtl/>
              </w:rPr>
              <w:t>ה</w:t>
            </w:r>
            <w:r>
              <w:rPr>
                <w:rStyle w:val="aa"/>
                <w:rFonts w:cs="David"/>
                <w:sz w:val="26"/>
                <w:szCs w:val="26"/>
                <w:rtl/>
              </w:rPr>
              <w:footnoteReference w:id="1"/>
            </w:r>
            <w:r>
              <w:rPr>
                <w:rFonts w:cs="David"/>
                <w:sz w:val="26"/>
                <w:szCs w:val="26"/>
                <w:rtl/>
              </w:rPr>
              <w:t>, בסעיף 5א, האמור בו יסומן "(א)", ואחריו יבוא:</w:t>
            </w:r>
          </w:p>
        </w:tc>
      </w:tr>
      <w:tr w:rsidR="00000000">
        <w:tblPrEx>
          <w:tblCellMar>
            <w:top w:w="0" w:type="dxa"/>
            <w:bottom w:w="0" w:type="dxa"/>
          </w:tblCellMar>
        </w:tblPrEx>
        <w:trPr>
          <w:cantSplit/>
        </w:trPr>
        <w:tc>
          <w:tcPr>
            <w:tcW w:w="1162" w:type="dxa"/>
            <w:tcBorders>
              <w:top w:val="nil"/>
              <w:left w:val="nil"/>
              <w:bottom w:val="nil"/>
              <w:right w:val="nil"/>
            </w:tcBorders>
          </w:tcPr>
          <w:p w:rsidR="00000000" w:rsidRDefault="00DD2609">
            <w:pPr>
              <w:spacing w:after="120"/>
              <w:rPr>
                <w:rFonts w:cs="David"/>
                <w:sz w:val="26"/>
                <w:szCs w:val="26"/>
              </w:rPr>
            </w:pPr>
          </w:p>
        </w:tc>
        <w:tc>
          <w:tcPr>
            <w:tcW w:w="549" w:type="dxa"/>
            <w:tcBorders>
              <w:top w:val="nil"/>
              <w:left w:val="nil"/>
              <w:bottom w:val="nil"/>
              <w:right w:val="nil"/>
            </w:tcBorders>
          </w:tcPr>
          <w:p w:rsidR="00000000" w:rsidRDefault="00DD2609">
            <w:pPr>
              <w:spacing w:after="120" w:line="360" w:lineRule="auto"/>
              <w:rPr>
                <w:rFonts w:cs="David"/>
                <w:sz w:val="26"/>
                <w:szCs w:val="26"/>
              </w:rPr>
            </w:pPr>
          </w:p>
        </w:tc>
        <w:tc>
          <w:tcPr>
            <w:tcW w:w="567" w:type="dxa"/>
            <w:tcBorders>
              <w:top w:val="nil"/>
              <w:left w:val="nil"/>
              <w:bottom w:val="nil"/>
              <w:right w:val="nil"/>
            </w:tcBorders>
          </w:tcPr>
          <w:p w:rsidR="00000000" w:rsidRDefault="00DD2609">
            <w:pPr>
              <w:spacing w:after="120"/>
              <w:rPr>
                <w:rFonts w:cs="David"/>
                <w:sz w:val="26"/>
                <w:szCs w:val="26"/>
              </w:rPr>
            </w:pPr>
            <w:r>
              <w:rPr>
                <w:rFonts w:cs="David"/>
                <w:sz w:val="26"/>
                <w:szCs w:val="26"/>
                <w:rtl/>
              </w:rPr>
              <w:t>"(ב)</w:t>
            </w:r>
          </w:p>
        </w:tc>
        <w:tc>
          <w:tcPr>
            <w:tcW w:w="6142" w:type="dxa"/>
            <w:gridSpan w:val="2"/>
            <w:tcBorders>
              <w:top w:val="nil"/>
              <w:left w:val="nil"/>
              <w:bottom w:val="nil"/>
              <w:right w:val="nil"/>
            </w:tcBorders>
          </w:tcPr>
          <w:p w:rsidR="00000000" w:rsidRDefault="00DD2609">
            <w:pPr>
              <w:spacing w:after="120" w:line="360" w:lineRule="auto"/>
              <w:jc w:val="both"/>
              <w:rPr>
                <w:rFonts w:cs="David"/>
                <w:sz w:val="26"/>
                <w:szCs w:val="26"/>
              </w:rPr>
            </w:pPr>
            <w:r>
              <w:rPr>
                <w:rFonts w:cs="David"/>
                <w:sz w:val="26"/>
                <w:szCs w:val="26"/>
                <w:rtl/>
              </w:rPr>
              <w:t>על אף האמור בסעיף קטן (א), מי שמשרת בתפקיד מהתפקידים המפורטים להלן לא יתמנה לשר ביטחון, אלא אם כן הפסיק את שירותו שלוש שנים לפני יום המינוי:</w:t>
            </w:r>
          </w:p>
        </w:tc>
      </w:tr>
      <w:tr w:rsidR="00000000">
        <w:tblPrEx>
          <w:tblCellMar>
            <w:top w:w="0" w:type="dxa"/>
            <w:bottom w:w="0" w:type="dxa"/>
          </w:tblCellMar>
        </w:tblPrEx>
        <w:trPr>
          <w:cantSplit/>
        </w:trPr>
        <w:tc>
          <w:tcPr>
            <w:tcW w:w="1162" w:type="dxa"/>
            <w:tcBorders>
              <w:top w:val="nil"/>
              <w:left w:val="nil"/>
              <w:bottom w:val="nil"/>
              <w:right w:val="nil"/>
            </w:tcBorders>
          </w:tcPr>
          <w:p w:rsidR="00000000" w:rsidRDefault="00DD2609">
            <w:pPr>
              <w:spacing w:after="120"/>
              <w:rPr>
                <w:rFonts w:cs="David"/>
                <w:sz w:val="26"/>
                <w:szCs w:val="26"/>
              </w:rPr>
            </w:pPr>
          </w:p>
        </w:tc>
        <w:tc>
          <w:tcPr>
            <w:tcW w:w="549" w:type="dxa"/>
            <w:tcBorders>
              <w:top w:val="nil"/>
              <w:left w:val="nil"/>
              <w:bottom w:val="nil"/>
              <w:right w:val="nil"/>
            </w:tcBorders>
          </w:tcPr>
          <w:p w:rsidR="00000000" w:rsidRDefault="00DD2609">
            <w:pPr>
              <w:spacing w:after="120" w:line="360" w:lineRule="auto"/>
              <w:rPr>
                <w:rFonts w:cs="David"/>
                <w:sz w:val="26"/>
                <w:szCs w:val="26"/>
              </w:rPr>
            </w:pPr>
          </w:p>
        </w:tc>
        <w:tc>
          <w:tcPr>
            <w:tcW w:w="567" w:type="dxa"/>
            <w:tcBorders>
              <w:top w:val="nil"/>
              <w:left w:val="nil"/>
              <w:bottom w:val="nil"/>
              <w:right w:val="nil"/>
            </w:tcBorders>
          </w:tcPr>
          <w:p w:rsidR="00000000" w:rsidRDefault="00DD2609">
            <w:pPr>
              <w:spacing w:after="120" w:line="360" w:lineRule="auto"/>
              <w:rPr>
                <w:rFonts w:cs="David"/>
                <w:sz w:val="26"/>
                <w:szCs w:val="26"/>
              </w:rPr>
            </w:pPr>
          </w:p>
        </w:tc>
        <w:tc>
          <w:tcPr>
            <w:tcW w:w="567" w:type="dxa"/>
            <w:tcBorders>
              <w:top w:val="nil"/>
              <w:left w:val="nil"/>
              <w:bottom w:val="nil"/>
              <w:right w:val="nil"/>
            </w:tcBorders>
          </w:tcPr>
          <w:p w:rsidR="00000000" w:rsidRDefault="00DD2609">
            <w:pPr>
              <w:spacing w:after="120" w:line="360" w:lineRule="auto"/>
              <w:rPr>
                <w:rFonts w:cs="David"/>
                <w:sz w:val="26"/>
                <w:szCs w:val="26"/>
              </w:rPr>
            </w:pPr>
            <w:r>
              <w:rPr>
                <w:rFonts w:cs="David"/>
                <w:sz w:val="26"/>
                <w:szCs w:val="26"/>
                <w:rtl/>
              </w:rPr>
              <w:t>(1)</w:t>
            </w:r>
          </w:p>
        </w:tc>
        <w:tc>
          <w:tcPr>
            <w:tcW w:w="5575" w:type="dxa"/>
            <w:tcBorders>
              <w:top w:val="nil"/>
              <w:left w:val="nil"/>
              <w:bottom w:val="nil"/>
              <w:right w:val="nil"/>
            </w:tcBorders>
          </w:tcPr>
          <w:p w:rsidR="00000000" w:rsidRDefault="00DD2609">
            <w:pPr>
              <w:spacing w:after="120" w:line="360" w:lineRule="auto"/>
              <w:jc w:val="both"/>
              <w:rPr>
                <w:rFonts w:cs="David"/>
                <w:sz w:val="26"/>
                <w:szCs w:val="26"/>
              </w:rPr>
            </w:pPr>
            <w:r>
              <w:rPr>
                <w:rFonts w:cs="David"/>
                <w:sz w:val="26"/>
                <w:szCs w:val="26"/>
                <w:rtl/>
              </w:rPr>
              <w:t>ראש שירות הביטחון הכללי או</w:t>
            </w:r>
            <w:r>
              <w:rPr>
                <w:rFonts w:cs="David"/>
                <w:sz w:val="26"/>
                <w:szCs w:val="26"/>
                <w:rtl/>
              </w:rPr>
              <w:t xml:space="preserve"> סגנו;</w:t>
            </w:r>
          </w:p>
        </w:tc>
      </w:tr>
      <w:tr w:rsidR="00000000">
        <w:tblPrEx>
          <w:tblCellMar>
            <w:top w:w="0" w:type="dxa"/>
            <w:bottom w:w="0" w:type="dxa"/>
          </w:tblCellMar>
        </w:tblPrEx>
        <w:trPr>
          <w:cantSplit/>
        </w:trPr>
        <w:tc>
          <w:tcPr>
            <w:tcW w:w="1162" w:type="dxa"/>
            <w:tcBorders>
              <w:top w:val="nil"/>
              <w:left w:val="nil"/>
              <w:bottom w:val="nil"/>
              <w:right w:val="nil"/>
            </w:tcBorders>
          </w:tcPr>
          <w:p w:rsidR="00000000" w:rsidRDefault="00DD2609">
            <w:pPr>
              <w:spacing w:after="120"/>
              <w:rPr>
                <w:rFonts w:cs="David"/>
                <w:sz w:val="26"/>
                <w:szCs w:val="26"/>
              </w:rPr>
            </w:pPr>
          </w:p>
        </w:tc>
        <w:tc>
          <w:tcPr>
            <w:tcW w:w="549" w:type="dxa"/>
            <w:tcBorders>
              <w:top w:val="nil"/>
              <w:left w:val="nil"/>
              <w:bottom w:val="nil"/>
              <w:right w:val="nil"/>
            </w:tcBorders>
          </w:tcPr>
          <w:p w:rsidR="00000000" w:rsidRDefault="00DD2609">
            <w:pPr>
              <w:spacing w:after="120" w:line="360" w:lineRule="auto"/>
              <w:rPr>
                <w:rFonts w:cs="David"/>
                <w:sz w:val="26"/>
                <w:szCs w:val="26"/>
              </w:rPr>
            </w:pPr>
          </w:p>
        </w:tc>
        <w:tc>
          <w:tcPr>
            <w:tcW w:w="567" w:type="dxa"/>
            <w:tcBorders>
              <w:top w:val="nil"/>
              <w:left w:val="nil"/>
              <w:bottom w:val="nil"/>
              <w:right w:val="nil"/>
            </w:tcBorders>
          </w:tcPr>
          <w:p w:rsidR="00000000" w:rsidRDefault="00DD2609">
            <w:pPr>
              <w:spacing w:after="120" w:line="360" w:lineRule="auto"/>
              <w:rPr>
                <w:rFonts w:cs="David"/>
                <w:sz w:val="26"/>
                <w:szCs w:val="26"/>
              </w:rPr>
            </w:pPr>
          </w:p>
        </w:tc>
        <w:tc>
          <w:tcPr>
            <w:tcW w:w="567" w:type="dxa"/>
            <w:tcBorders>
              <w:top w:val="nil"/>
              <w:left w:val="nil"/>
              <w:bottom w:val="nil"/>
              <w:right w:val="nil"/>
            </w:tcBorders>
          </w:tcPr>
          <w:p w:rsidR="00000000" w:rsidRDefault="00DD2609">
            <w:pPr>
              <w:spacing w:after="120" w:line="360" w:lineRule="auto"/>
              <w:rPr>
                <w:rFonts w:cs="David"/>
                <w:sz w:val="26"/>
                <w:szCs w:val="26"/>
              </w:rPr>
            </w:pPr>
            <w:r>
              <w:rPr>
                <w:rFonts w:cs="David"/>
                <w:sz w:val="26"/>
                <w:szCs w:val="26"/>
                <w:rtl/>
              </w:rPr>
              <w:t>(2)</w:t>
            </w:r>
          </w:p>
        </w:tc>
        <w:tc>
          <w:tcPr>
            <w:tcW w:w="5575" w:type="dxa"/>
            <w:tcBorders>
              <w:top w:val="nil"/>
              <w:left w:val="nil"/>
              <w:bottom w:val="nil"/>
              <w:right w:val="nil"/>
            </w:tcBorders>
          </w:tcPr>
          <w:p w:rsidR="00000000" w:rsidRDefault="00DD2609">
            <w:pPr>
              <w:spacing w:after="120" w:line="360" w:lineRule="auto"/>
              <w:jc w:val="both"/>
              <w:rPr>
                <w:rFonts w:cs="David"/>
                <w:sz w:val="26"/>
                <w:szCs w:val="26"/>
              </w:rPr>
            </w:pPr>
            <w:r>
              <w:rPr>
                <w:rFonts w:cs="David"/>
                <w:sz w:val="26"/>
                <w:szCs w:val="26"/>
                <w:rtl/>
              </w:rPr>
              <w:t>ראש המוסד לתפקידים מיוחדים או סגנו;</w:t>
            </w:r>
          </w:p>
        </w:tc>
      </w:tr>
      <w:tr w:rsidR="00000000">
        <w:tblPrEx>
          <w:tblCellMar>
            <w:top w:w="0" w:type="dxa"/>
            <w:bottom w:w="0" w:type="dxa"/>
          </w:tblCellMar>
        </w:tblPrEx>
        <w:trPr>
          <w:cantSplit/>
        </w:trPr>
        <w:tc>
          <w:tcPr>
            <w:tcW w:w="1162" w:type="dxa"/>
            <w:tcBorders>
              <w:top w:val="nil"/>
              <w:left w:val="nil"/>
              <w:bottom w:val="nil"/>
              <w:right w:val="nil"/>
            </w:tcBorders>
          </w:tcPr>
          <w:p w:rsidR="00000000" w:rsidRDefault="00DD2609">
            <w:pPr>
              <w:spacing w:after="120"/>
              <w:rPr>
                <w:rFonts w:cs="David"/>
                <w:sz w:val="26"/>
                <w:szCs w:val="26"/>
              </w:rPr>
            </w:pPr>
          </w:p>
        </w:tc>
        <w:tc>
          <w:tcPr>
            <w:tcW w:w="549" w:type="dxa"/>
            <w:tcBorders>
              <w:top w:val="nil"/>
              <w:left w:val="nil"/>
              <w:bottom w:val="nil"/>
              <w:right w:val="nil"/>
            </w:tcBorders>
          </w:tcPr>
          <w:p w:rsidR="00000000" w:rsidRDefault="00DD2609">
            <w:pPr>
              <w:spacing w:after="120" w:line="360" w:lineRule="auto"/>
              <w:rPr>
                <w:rFonts w:cs="David"/>
                <w:sz w:val="26"/>
                <w:szCs w:val="26"/>
              </w:rPr>
            </w:pPr>
          </w:p>
        </w:tc>
        <w:tc>
          <w:tcPr>
            <w:tcW w:w="567" w:type="dxa"/>
            <w:tcBorders>
              <w:top w:val="nil"/>
              <w:left w:val="nil"/>
              <w:bottom w:val="nil"/>
              <w:right w:val="nil"/>
            </w:tcBorders>
          </w:tcPr>
          <w:p w:rsidR="00000000" w:rsidRDefault="00DD2609">
            <w:pPr>
              <w:spacing w:after="120" w:line="360" w:lineRule="auto"/>
              <w:rPr>
                <w:rFonts w:cs="David"/>
                <w:sz w:val="26"/>
                <w:szCs w:val="26"/>
              </w:rPr>
            </w:pPr>
          </w:p>
        </w:tc>
        <w:tc>
          <w:tcPr>
            <w:tcW w:w="567" w:type="dxa"/>
            <w:tcBorders>
              <w:top w:val="nil"/>
              <w:left w:val="nil"/>
              <w:bottom w:val="nil"/>
              <w:right w:val="nil"/>
            </w:tcBorders>
          </w:tcPr>
          <w:p w:rsidR="00000000" w:rsidRDefault="00DD2609">
            <w:pPr>
              <w:spacing w:after="120" w:line="360" w:lineRule="auto"/>
              <w:rPr>
                <w:rFonts w:cs="David"/>
                <w:sz w:val="26"/>
                <w:szCs w:val="26"/>
              </w:rPr>
            </w:pPr>
            <w:r>
              <w:rPr>
                <w:rFonts w:cs="David"/>
                <w:sz w:val="26"/>
                <w:szCs w:val="26"/>
                <w:rtl/>
              </w:rPr>
              <w:t>(3)</w:t>
            </w:r>
          </w:p>
        </w:tc>
        <w:tc>
          <w:tcPr>
            <w:tcW w:w="5575" w:type="dxa"/>
            <w:tcBorders>
              <w:top w:val="nil"/>
              <w:left w:val="nil"/>
              <w:bottom w:val="nil"/>
              <w:right w:val="nil"/>
            </w:tcBorders>
          </w:tcPr>
          <w:p w:rsidR="00000000" w:rsidRDefault="00DD2609">
            <w:pPr>
              <w:spacing w:after="120" w:line="360" w:lineRule="auto"/>
              <w:jc w:val="both"/>
              <w:rPr>
                <w:rFonts w:cs="David"/>
                <w:sz w:val="26"/>
                <w:szCs w:val="26"/>
              </w:rPr>
            </w:pPr>
            <w:r>
              <w:rPr>
                <w:rFonts w:cs="David"/>
                <w:sz w:val="26"/>
                <w:szCs w:val="26"/>
                <w:rtl/>
              </w:rPr>
              <w:t>קצין צבא בדרגת אלוף ומעלה."</w:t>
            </w:r>
          </w:p>
        </w:tc>
      </w:tr>
    </w:tbl>
    <w:p w:rsidR="00000000" w:rsidRDefault="00DD2609">
      <w:pPr>
        <w:spacing w:line="360" w:lineRule="auto"/>
        <w:rPr>
          <w:rFonts w:cs="David"/>
          <w:sz w:val="26"/>
          <w:szCs w:val="26"/>
          <w:rtl/>
        </w:rPr>
      </w:pPr>
    </w:p>
    <w:p w:rsidR="00000000" w:rsidRDefault="00DD2609">
      <w:pPr>
        <w:spacing w:line="360" w:lineRule="auto"/>
        <w:rPr>
          <w:rFonts w:cs="David"/>
          <w:sz w:val="26"/>
          <w:szCs w:val="26"/>
          <w:rtl/>
        </w:rPr>
      </w:pPr>
    </w:p>
    <w:p w:rsidR="00000000" w:rsidRDefault="00DD2609">
      <w:pPr>
        <w:spacing w:line="360" w:lineRule="auto"/>
        <w:jc w:val="center"/>
        <w:rPr>
          <w:rFonts w:cs="David"/>
          <w:b/>
          <w:bCs/>
          <w:sz w:val="28"/>
          <w:szCs w:val="28"/>
          <w:u w:val="single"/>
          <w:rtl/>
        </w:rPr>
      </w:pPr>
      <w:r>
        <w:rPr>
          <w:rFonts w:cs="David"/>
          <w:b/>
          <w:bCs/>
          <w:sz w:val="28"/>
          <w:szCs w:val="28"/>
          <w:u w:val="single"/>
          <w:rtl/>
        </w:rPr>
        <w:t>דברי – הסבר</w:t>
      </w:r>
    </w:p>
    <w:p w:rsidR="00000000" w:rsidRDefault="00DD2609">
      <w:pPr>
        <w:spacing w:line="360" w:lineRule="auto"/>
        <w:rPr>
          <w:rFonts w:cs="David"/>
          <w:sz w:val="26"/>
          <w:szCs w:val="26"/>
          <w:rtl/>
        </w:rPr>
      </w:pPr>
    </w:p>
    <w:p w:rsidR="00000000" w:rsidRDefault="00DD2609">
      <w:pPr>
        <w:spacing w:line="360" w:lineRule="auto"/>
        <w:jc w:val="both"/>
        <w:rPr>
          <w:rFonts w:cs="David"/>
          <w:sz w:val="26"/>
          <w:szCs w:val="26"/>
          <w:rtl/>
        </w:rPr>
      </w:pPr>
      <w:r>
        <w:rPr>
          <w:rFonts w:cs="David"/>
          <w:sz w:val="26"/>
          <w:szCs w:val="26"/>
          <w:rtl/>
        </w:rPr>
        <w:t>ליחסי צבא ממשלה, ובתוך כך, מינוי בעלי התפקידים במטכ"ל, חשיבות ורגישות רבה.</w:t>
      </w:r>
    </w:p>
    <w:p w:rsidR="00000000" w:rsidRDefault="00DD2609">
      <w:pPr>
        <w:spacing w:line="360" w:lineRule="auto"/>
        <w:jc w:val="both"/>
        <w:rPr>
          <w:rFonts w:cs="David"/>
          <w:sz w:val="26"/>
          <w:szCs w:val="26"/>
          <w:rtl/>
        </w:rPr>
      </w:pPr>
      <w:r>
        <w:rPr>
          <w:rFonts w:cs="David"/>
          <w:sz w:val="26"/>
          <w:szCs w:val="26"/>
          <w:rtl/>
        </w:rPr>
        <w:t>בהיעדר תקופת צינון יכול להיות מצב בו אלוף, שלא התמנה לרמטכ"ל, מתמנה תוך חודשים</w:t>
      </w:r>
      <w:r>
        <w:rPr>
          <w:rFonts w:cs="David"/>
          <w:sz w:val="26"/>
          <w:szCs w:val="26"/>
          <w:rtl/>
        </w:rPr>
        <w:t xml:space="preserve"> לתפקיד שר ביטחון ומוצא את עצמו בהתנגשות עם הרמטכ"ל. בנוסף, בהיעדר צינון משמעותי, עלול להיפגע הפיקוח האזרחי על מערכת הביטחון, המהווה אבן יסוד בביסוס מעמדה של הדמוקרטיה בישראל. מצב דומה נוצר עקב היעדר צינון משמעותי לראשי שירותי הבטחון וסגניהם.</w:t>
      </w:r>
    </w:p>
    <w:p w:rsidR="00000000" w:rsidRDefault="00DD2609">
      <w:pPr>
        <w:spacing w:line="360" w:lineRule="auto"/>
        <w:jc w:val="both"/>
        <w:rPr>
          <w:rFonts w:cs="David"/>
          <w:sz w:val="26"/>
          <w:szCs w:val="26"/>
          <w:rtl/>
        </w:rPr>
      </w:pPr>
    </w:p>
    <w:p w:rsidR="00000000" w:rsidRDefault="00DD2609">
      <w:pPr>
        <w:spacing w:line="360" w:lineRule="auto"/>
        <w:jc w:val="both"/>
        <w:rPr>
          <w:rFonts w:cs="David"/>
          <w:sz w:val="26"/>
          <w:szCs w:val="26"/>
          <w:rtl/>
        </w:rPr>
      </w:pPr>
      <w:r>
        <w:rPr>
          <w:rFonts w:cs="David"/>
          <w:sz w:val="26"/>
          <w:szCs w:val="26"/>
          <w:rtl/>
        </w:rPr>
        <w:t>בשל כך מוצעת</w:t>
      </w:r>
      <w:r>
        <w:rPr>
          <w:rFonts w:cs="David"/>
          <w:sz w:val="26"/>
          <w:szCs w:val="26"/>
          <w:rtl/>
        </w:rPr>
        <w:t xml:space="preserve"> תקופת צינון של לפחות 3 שנים עבור קצינים בכירים, ראש המוסד לתפקידים מיוחדים וסגניו, ראש שירות וביטחון הכללי וסגניו.</w:t>
      </w:r>
    </w:p>
    <w:p w:rsidR="00000000" w:rsidRDefault="00DD2609">
      <w:pPr>
        <w:spacing w:line="360" w:lineRule="auto"/>
        <w:jc w:val="both"/>
        <w:rPr>
          <w:rFonts w:cs="David"/>
          <w:sz w:val="26"/>
          <w:szCs w:val="26"/>
          <w:rtl/>
        </w:rPr>
      </w:pPr>
    </w:p>
    <w:p w:rsidR="00000000" w:rsidRDefault="00DD2609">
      <w:pPr>
        <w:spacing w:line="360" w:lineRule="auto"/>
        <w:jc w:val="both"/>
        <w:rPr>
          <w:rFonts w:cs="David"/>
          <w:sz w:val="26"/>
          <w:szCs w:val="26"/>
          <w:rtl/>
        </w:rPr>
      </w:pPr>
      <w:r>
        <w:rPr>
          <w:rFonts w:cs="David"/>
          <w:sz w:val="26"/>
          <w:szCs w:val="26"/>
          <w:rtl/>
        </w:rPr>
        <w:t>---------------------------------</w:t>
      </w:r>
    </w:p>
    <w:p w:rsidR="00000000" w:rsidRDefault="00DD2609">
      <w:pPr>
        <w:spacing w:line="360" w:lineRule="auto"/>
        <w:jc w:val="both"/>
        <w:rPr>
          <w:rFonts w:cs="David"/>
          <w:sz w:val="26"/>
          <w:szCs w:val="26"/>
          <w:rtl/>
        </w:rPr>
      </w:pPr>
      <w:r>
        <w:rPr>
          <w:rFonts w:cs="David"/>
          <w:sz w:val="26"/>
          <w:szCs w:val="26"/>
          <w:rtl/>
        </w:rPr>
        <w:t>הוגשה ליו"ר הכנסת והסגנים</w:t>
      </w:r>
    </w:p>
    <w:p w:rsidR="00000000" w:rsidRDefault="00DD2609">
      <w:pPr>
        <w:spacing w:line="360" w:lineRule="auto"/>
        <w:jc w:val="both"/>
        <w:rPr>
          <w:rFonts w:cs="David"/>
          <w:sz w:val="26"/>
          <w:szCs w:val="26"/>
          <w:rtl/>
        </w:rPr>
      </w:pPr>
      <w:r>
        <w:rPr>
          <w:rFonts w:cs="David"/>
          <w:sz w:val="26"/>
          <w:szCs w:val="26"/>
          <w:rtl/>
        </w:rPr>
        <w:t>והונחה על שולחן הכנסת ביום</w:t>
      </w:r>
    </w:p>
    <w:p w:rsidR="00000000" w:rsidRDefault="00DD2609">
      <w:pPr>
        <w:spacing w:line="360" w:lineRule="auto"/>
        <w:jc w:val="both"/>
        <w:rPr>
          <w:rFonts w:cs="David"/>
          <w:sz w:val="26"/>
          <w:szCs w:val="26"/>
          <w:rtl/>
        </w:rPr>
      </w:pPr>
      <w:r>
        <w:rPr>
          <w:rFonts w:cs="David"/>
          <w:sz w:val="26"/>
          <w:szCs w:val="26"/>
          <w:rtl/>
        </w:rPr>
        <w:t>י"ז באייר התשס"ו - 15.506</w:t>
      </w:r>
    </w:p>
    <w:p w:rsidR="00000000" w:rsidRDefault="00DD2609">
      <w:pPr>
        <w:jc w:val="both"/>
        <w:rPr>
          <w:rFonts w:cs="David"/>
          <w:sz w:val="26"/>
          <w:szCs w:val="26"/>
          <w:rtl/>
        </w:rPr>
      </w:pPr>
    </w:p>
    <w:p w:rsidR="00000000" w:rsidRDefault="00DD2609">
      <w:pPr>
        <w:pStyle w:val="a3"/>
        <w:jc w:val="left"/>
        <w:rPr>
          <w:rFonts w:cs="David"/>
          <w:u w:val="none"/>
        </w:rPr>
      </w:pPr>
    </w:p>
    <w:p w:rsidR="00000000" w:rsidRDefault="00DD2609">
      <w:pPr>
        <w:spacing w:line="360" w:lineRule="auto"/>
        <w:jc w:val="both"/>
        <w:rPr>
          <w:rFonts w:cs="David"/>
          <w:sz w:val="26"/>
          <w:szCs w:val="26"/>
          <w:rtl/>
        </w:rPr>
      </w:pPr>
    </w:p>
    <w:p w:rsidR="00000000" w:rsidRDefault="00DD2609">
      <w:pPr>
        <w:spacing w:line="360" w:lineRule="auto"/>
        <w:jc w:val="both"/>
        <w:rPr>
          <w:rFonts w:cs="David"/>
          <w:sz w:val="26"/>
          <w:szCs w:val="26"/>
          <w:rtl/>
        </w:rPr>
      </w:pPr>
    </w:p>
    <w:p w:rsidR="00000000" w:rsidRDefault="00DD2609">
      <w:pPr>
        <w:spacing w:line="360" w:lineRule="auto"/>
      </w:pPr>
    </w:p>
    <w:p w:rsidR="00000000" w:rsidRDefault="00DD2609">
      <w:pPr>
        <w:pStyle w:val="a3"/>
        <w:spacing w:line="360" w:lineRule="auto"/>
        <w:jc w:val="left"/>
        <w:rPr>
          <w:rFonts w:cs="David"/>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D2609">
      <w:r>
        <w:separator/>
      </w:r>
    </w:p>
  </w:endnote>
  <w:endnote w:type="continuationSeparator" w:id="0">
    <w:p w:rsidR="00000000" w:rsidRDefault="00DD2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D2609">
      <w:r>
        <w:separator/>
      </w:r>
    </w:p>
  </w:footnote>
  <w:footnote w:type="continuationSeparator" w:id="0">
    <w:p w:rsidR="00000000" w:rsidRDefault="00DD2609">
      <w:r>
        <w:continuationSeparator/>
      </w:r>
    </w:p>
  </w:footnote>
  <w:footnote w:id="1">
    <w:p w:rsidR="00000000" w:rsidRDefault="00DD2609">
      <w:pPr>
        <w:pStyle w:val="a8"/>
      </w:pPr>
      <w:r>
        <w:rPr>
          <w:rStyle w:val="aa"/>
        </w:rPr>
        <w:footnoteRef/>
      </w:r>
      <w:r>
        <w:t xml:space="preserve"> </w:t>
      </w:r>
      <w:r>
        <w:rPr>
          <w:rtl/>
        </w:rPr>
        <w:t xml:space="preserve"> </w:t>
      </w:r>
      <w:r>
        <w:rPr>
          <w:rFonts w:cs="David"/>
          <w:rtl/>
        </w:rPr>
        <w:t>ס"ח התשס"א, עמ' 168.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2609">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DD260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0684àáùìåí åéìï - çå÷ äîîùìä ëùéøåú ùø äáéèçåï.doc"/>
    <w:docVar w:name="StartMode" w:val="2"/>
  </w:docVars>
  <w:rsids>
    <w:rsidRoot w:val="00DD2609"/>
    <w:rsid w:val="00DD2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sz w:val="28"/>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ascii="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200</Words>
  <Characters>1000</Characters>
  <Application>Microsoft Office Word</Application>
  <DocSecurity>0</DocSecurity>
  <Lines>8</Lines>
  <Paragraphs>2</Paragraphs>
  <ScaleCrop>false</ScaleCrop>
  <Company>knesset</Company>
  <LinksUpToDate>false</LinksUpToDate>
  <CharactersWithSpaces>1198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הממשלה (תיקון - כשירות שר הבטחון), התשס"ו-2006</dc:title>
  <dc:subject/>
  <dc:creator>Knesset</dc:creator>
  <cp:keywords/>
  <dc:description/>
  <cp:lastModifiedBy>שמואל כוכב</cp:lastModifiedBy>
  <cp:revision>2</cp:revision>
  <dcterms:created xsi:type="dcterms:W3CDTF">2015-02-03T19:32:00Z</dcterms:created>
  <dcterms:modified xsi:type="dcterms:W3CDTF">2015-02-03T19:32:00Z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אבשלום וילן</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84</vt:lpwstr>
  </property>
  <property fmtid="{D5CDD505-2E9C-101B-9397-08002B2CF9AE}" pid="9" name="AutoNumber">
    <vt:lpwstr>02757506</vt:lpwstr>
  </property>
  <property fmtid="{D5CDD505-2E9C-101B-9397-08002B2CF9AE}" pid="10" name="Num_Gim1">
    <vt:lpwstr/>
  </property>
  <property fmtid="{D5CDD505-2E9C-101B-9397-08002B2CF9AE}" pid="11" name="SDDocDate">
    <vt:lpwstr>2006-05-14T00:00:00Z</vt:lpwstr>
  </property>
  <property fmtid="{D5CDD505-2E9C-101B-9397-08002B2CF9AE}" pid="12" name="SDHebDate">
    <vt:lpwstr>ט"ז באייר,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knesset_number">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פ/85/17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oseA">
    <vt:lpwstr/>
  </property>
  <property fmtid="{D5CDD505-2E9C-101B-9397-08002B2CF9AE}" pid="30" name="NoseB">
    <vt:lpwstr/>
  </property>
  <property fmtid="{D5CDD505-2E9C-101B-9397-08002B2CF9AE}" pid="31" name="ValidFrom">
    <vt:lpwstr/>
  </property>
  <property fmtid="{D5CDD505-2E9C-101B-9397-08002B2CF9AE}" pid="32" name="ValidUntill">
    <vt:lpwstr/>
  </property>
  <property fmtid="{D5CDD505-2E9C-101B-9397-08002B2CF9AE}" pid="33" name="To1">
    <vt:lpwstr/>
  </property>
  <property fmtid="{D5CDD505-2E9C-101B-9397-08002B2CF9AE}" pid="34" name="From">
    <vt:lpwstr/>
  </property>
  <property fmtid="{D5CDD505-2E9C-101B-9397-08002B2CF9AE}" pid="35" name="body">
    <vt:lpwstr/>
  </property>
  <property fmtid="{D5CDD505-2E9C-101B-9397-08002B2CF9AE}" pid="36" name="תאריך הנחה">
    <vt:lpwstr/>
  </property>
  <property fmtid="{D5CDD505-2E9C-101B-9397-08002B2CF9AE}" pid="37" name="מספר הצעת חוק למיון">
    <vt:lpwstr>85</vt:lpwstr>
  </property>
</Properties>
</file>