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2159382</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וארבע</w:t>
      </w:r>
      <w:bookmarkEnd w:id="1"/>
    </w:p>
    <w:p w14:paraId="7F6961A3" w14:textId="77777777" w:rsidR="00E13C27" w:rsidRPr="00F67051" w:rsidRDefault="00E13C27" w:rsidP="00E13C27">
      <w:pPr>
        <w:rPr>
          <w:b/>
          <w:bCs/>
          <w:sz w:val="26"/>
          <w:szCs w:val="26"/>
          <w:rtl/>
        </w:rPr>
      </w:pPr>
    </w:p>
    <w:p w14:paraId="7F6961AA" w14:textId="5EC653A5" w:rsidR="00E13C27" w:rsidRPr="00CF1AA2" w:rsidRDefault="008F6665" w:rsidP="00412D35">
      <w:pPr>
        <w:pStyle w:val="David"/>
        <w:ind w:left="3544"/>
        <w:rPr>
          <w:b/>
          <w:bCs/>
          <w:sz w:val="16"/>
          <w:szCs w:val="16"/>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שמחה רוטמן</w:t>
      </w:r>
      <w:r>
        <w:br/>
      </w:r>
      <w:r>
        <w:rPr>
          <w:rFonts w:hint="cs"/>
          <w:b/>
          <w:bCs/>
          <w:rtl/>
        </w:rPr>
        <w:t xml:space="preserve"> </w:t>
      </w:r>
      <w:r>
        <w:tab/>
      </w:r>
      <w:r>
        <w:tab/>
      </w:r>
      <w:r>
        <w:tab/>
      </w:r>
      <w:r>
        <w:tab/>
      </w:r>
      <w:r>
        <w:rPr>
          <w:rFonts w:hint="cs"/>
          <w:b/>
          <w:bCs/>
          <w:rtl/>
        </w:rPr>
        <w:t>בצלאל סמוטריץ'</w:t>
      </w:r>
      <w:r>
        <w:br/>
      </w:r>
      <w:r>
        <w:rPr>
          <w:rFonts w:hint="cs"/>
          <w:b/>
          <w:bCs/>
          <w:rtl/>
        </w:rPr>
        <w:t xml:space="preserve"> </w:t>
      </w:r>
      <w:r>
        <w:tab/>
      </w:r>
      <w:r>
        <w:tab/>
      </w:r>
      <w:r>
        <w:tab/>
      </w:r>
      <w:r>
        <w:tab/>
      </w:r>
      <w:r>
        <w:rPr>
          <w:rFonts w:hint="cs"/>
          <w:b/>
          <w:bCs/>
          <w:rtl/>
        </w:rPr>
        <w:t>אמיר אוחנה</w:t>
      </w:r>
      <w:r>
        <w:br/>
      </w:r>
      <w:r>
        <w:rPr>
          <w:rFonts w:hint="cs"/>
          <w:b/>
          <w:bCs/>
          <w:rtl/>
        </w:rPr>
        <w:t xml:space="preserve"> </w:t>
      </w:r>
      <w:r>
        <w:tab/>
      </w:r>
      <w:r>
        <w:tab/>
      </w:r>
      <w:r>
        <w:tab/>
      </w:r>
      <w:r>
        <w:tab/>
      </w:r>
      <w:r>
        <w:rPr>
          <w:rFonts w:hint="cs"/>
          <w:b/>
          <w:bCs/>
          <w:rtl/>
        </w:rPr>
        <w:t>ינון אזולאי</w:t>
      </w:r>
      <w:r>
        <w:br/>
      </w:r>
      <w:r>
        <w:rPr>
          <w:rFonts w:hint="cs"/>
          <w:b/>
          <w:bCs/>
          <w:rtl/>
        </w:rPr>
        <w:t xml:space="preserve"> </w:t>
      </w:r>
      <w:r>
        <w:tab/>
      </w:r>
      <w:r>
        <w:tab/>
      </w:r>
      <w:r>
        <w:tab/>
      </w:r>
      <w:r>
        <w:tab/>
      </w:r>
      <w:r>
        <w:rPr>
          <w:rFonts w:hint="cs"/>
          <w:b/>
          <w:bCs/>
          <w:rtl/>
        </w:rPr>
        <w:t>יצחק פינדרוס</w:t>
      </w:r>
      <w:r>
        <w:br/>
      </w:r>
      <w:r>
        <w:rPr>
          <w:rFonts w:hint="cs"/>
          <w:b/>
          <w:bCs/>
          <w:rtl/>
        </w:rPr>
        <w:t xml:space="preserve"> </w:t>
      </w:r>
      <w:r>
        <w:tab/>
      </w:r>
      <w:r>
        <w:tab/>
      </w:r>
      <w:r>
        <w:tab/>
      </w:r>
      <w:r>
        <w:tab/>
      </w:r>
      <w:r>
        <w:rPr>
          <w:rFonts w:hint="cs"/>
          <w:b/>
          <w:bCs/>
          <w:rtl/>
        </w:rPr>
        <w:t xml:space="preserve">עמיחי </w:t>
      </w:r>
      <w:proofErr w:type="spellStart"/>
      <w:r>
        <w:rPr>
          <w:rFonts w:hint="cs"/>
          <w:b/>
          <w:bCs/>
          <w:rtl/>
        </w:rPr>
        <w:t>שיקלי</w:t>
      </w:r>
      <w:bookmarkStart w:id="4" w:name="LGS_Join_List"/>
      <w:bookmarkEnd w:id="3"/>
      <w:proofErr w:type="spellEnd"/>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1D910936" w:rsidR="00E13C27" w:rsidRPr="00E06736" w:rsidRDefault="00904591" w:rsidP="00904591">
      <w:pPr>
        <w:pStyle w:val="David"/>
        <w:spacing w:line="240" w:lineRule="auto"/>
        <w:ind w:left="3544"/>
        <w:rPr>
          <w:rtl/>
        </w:rPr>
      </w:pPr>
      <w:r>
        <w:t xml:space="preserve">                                            </w:t>
      </w:r>
      <w:r w:rsidR="008F1308">
        <w:t xml:space="preserve"> </w:t>
      </w:r>
      <w:bookmarkStart w:id="6" w:name="Private_Number"/>
      <w:r w:rsidR="00A40F80">
        <w:rPr>
          <w:rtl/>
        </w:rPr>
        <w:tab/>
      </w:r>
      <w:r>
        <w:rPr>
          <w:rFonts w:hint="cs"/>
          <w:rtl/>
        </w:rPr>
        <w:t>פ/1568/24</w:t>
      </w:r>
      <w:bookmarkEnd w:id="6"/>
    </w:p>
    <w:p w14:paraId="36F388F5" w14:textId="4FBD91B7" w:rsidR="007F1149" w:rsidRPr="00C47518" w:rsidRDefault="007F1149" w:rsidP="00C47518">
      <w:pPr>
        <w:pStyle w:val="HeadHatzaotHok"/>
        <w:rPr>
          <w:rtl/>
        </w:rPr>
      </w:pPr>
      <w:bookmarkStart w:id="7" w:name="LGS_Subject"/>
      <w:r w:rsidRPr="00C47518">
        <w:rPr>
          <w:rFonts w:hint="cs"/>
          <w:rtl/>
        </w:rPr>
        <w:t xml:space="preserve">הצעת </w:t>
      </w:r>
      <w:r w:rsidR="00B37321" w:rsidRPr="00C47518">
        <w:rPr>
          <w:rFonts w:hint="cs"/>
          <w:rtl/>
        </w:rPr>
        <w:t>חו</w:t>
      </w:r>
      <w:bookmarkStart w:id="8" w:name="_GoBack"/>
      <w:bookmarkEnd w:id="8"/>
      <w:r w:rsidR="00B37321" w:rsidRPr="00C47518">
        <w:rPr>
          <w:rFonts w:hint="cs"/>
          <w:rtl/>
        </w:rPr>
        <w:t>ק-יסוד</w:t>
      </w:r>
      <w:r w:rsidR="00C47518">
        <w:rPr>
          <w:rFonts w:hint="cs"/>
          <w:rtl/>
        </w:rPr>
        <w:t>: כניסה, הגירה ומעמד בישראל</w:t>
      </w: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19"/>
      </w:tblGrid>
      <w:tr w:rsidR="007F1149" w:rsidRPr="0017382B" w14:paraId="42A741E5" w14:textId="77777777" w:rsidTr="00A40F80">
        <w:trPr>
          <w:cantSplit/>
        </w:trPr>
        <w:tc>
          <w:tcPr>
            <w:tcW w:w="1871" w:type="dxa"/>
          </w:tcPr>
          <w:bookmarkEnd w:id="7"/>
          <w:p w14:paraId="66B8A5BC" w14:textId="77777777" w:rsidR="007F1149" w:rsidRPr="0017382B" w:rsidRDefault="007F1149" w:rsidP="00EE4D11">
            <w:pPr>
              <w:pStyle w:val="TableSideHeading"/>
              <w:keepLines w:val="0"/>
            </w:pPr>
            <w:r w:rsidRPr="0017382B">
              <w:rPr>
                <w:rFonts w:hint="cs"/>
                <w:rtl/>
              </w:rPr>
              <w:t>עקרונות יסוד</w:t>
            </w:r>
          </w:p>
        </w:tc>
        <w:tc>
          <w:tcPr>
            <w:tcW w:w="624" w:type="dxa"/>
          </w:tcPr>
          <w:p w14:paraId="54BB0A2B" w14:textId="187B9500" w:rsidR="007F1149" w:rsidRPr="0017382B" w:rsidRDefault="00A40F80" w:rsidP="00A40F80">
            <w:pPr>
              <w:pStyle w:val="TableText"/>
              <w:keepLines w:val="0"/>
              <w:tabs>
                <w:tab w:val="clear" w:pos="624"/>
              </w:tabs>
            </w:pPr>
            <w:r>
              <w:rPr>
                <w:rFonts w:hint="cs"/>
                <w:rtl/>
              </w:rPr>
              <w:t>1.</w:t>
            </w:r>
          </w:p>
        </w:tc>
        <w:tc>
          <w:tcPr>
            <w:tcW w:w="7143" w:type="dxa"/>
            <w:gridSpan w:val="2"/>
          </w:tcPr>
          <w:p w14:paraId="4E30D6A4" w14:textId="7324B46B" w:rsidR="007F1149" w:rsidRPr="0017382B" w:rsidRDefault="00A40F80" w:rsidP="00A40F80">
            <w:pPr>
              <w:pStyle w:val="TableBlock"/>
            </w:pPr>
            <w:r w:rsidRPr="00A40F80">
              <w:rPr>
                <w:rFonts w:hint="cs"/>
                <w:rtl/>
              </w:rPr>
              <w:t>(א</w:t>
            </w:r>
            <w:r>
              <w:rPr>
                <w:rtl/>
              </w:rPr>
              <w:t>)</w:t>
            </w:r>
            <w:r>
              <w:rPr>
                <w:rtl/>
              </w:rPr>
              <w:tab/>
            </w:r>
            <w:r w:rsidR="007F1149" w:rsidRPr="0017382B">
              <w:rPr>
                <w:rtl/>
              </w:rPr>
              <w:t>ארץ ישראל היא מולדתו ההיסטורית של העם היהודי, שבה קמה מדינת</w:t>
            </w:r>
            <w:r w:rsidR="007F1149" w:rsidRPr="0017382B">
              <w:rPr>
                <w:rFonts w:hint="cs"/>
                <w:rtl/>
              </w:rPr>
              <w:t xml:space="preserve"> </w:t>
            </w:r>
            <w:r w:rsidR="007F1149" w:rsidRPr="0017382B">
              <w:rPr>
                <w:rtl/>
              </w:rPr>
              <w:t>ישראל.</w:t>
            </w:r>
          </w:p>
        </w:tc>
      </w:tr>
      <w:tr w:rsidR="000467E2" w:rsidRPr="0017382B" w14:paraId="4FABBBB5" w14:textId="77777777" w:rsidTr="00A40F80">
        <w:trPr>
          <w:cantSplit/>
        </w:trPr>
        <w:tc>
          <w:tcPr>
            <w:tcW w:w="1871" w:type="dxa"/>
          </w:tcPr>
          <w:p w14:paraId="352EC0F9" w14:textId="77777777" w:rsidR="000467E2" w:rsidRPr="0017382B" w:rsidRDefault="000467E2" w:rsidP="00EE4D11">
            <w:pPr>
              <w:pStyle w:val="TableSideHeading"/>
              <w:keepLines w:val="0"/>
              <w:rPr>
                <w:rtl/>
              </w:rPr>
            </w:pPr>
          </w:p>
        </w:tc>
        <w:tc>
          <w:tcPr>
            <w:tcW w:w="624" w:type="dxa"/>
          </w:tcPr>
          <w:p w14:paraId="5DADD4F1" w14:textId="77777777" w:rsidR="000467E2" w:rsidRPr="0017382B" w:rsidRDefault="000467E2" w:rsidP="00A40F80">
            <w:pPr>
              <w:pStyle w:val="TableText"/>
            </w:pPr>
          </w:p>
        </w:tc>
        <w:tc>
          <w:tcPr>
            <w:tcW w:w="7143" w:type="dxa"/>
            <w:gridSpan w:val="2"/>
          </w:tcPr>
          <w:p w14:paraId="70CEFC23" w14:textId="5196FB23" w:rsidR="000467E2" w:rsidRPr="0017382B" w:rsidRDefault="00A40F80" w:rsidP="00A40F80">
            <w:pPr>
              <w:pStyle w:val="TableBlock"/>
              <w:rPr>
                <w:rtl/>
              </w:rPr>
            </w:pPr>
            <w:r>
              <w:rPr>
                <w:rFonts w:hint="cs"/>
                <w:rtl/>
              </w:rPr>
              <w:t>(ב)</w:t>
            </w:r>
            <w:r>
              <w:rPr>
                <w:rtl/>
              </w:rPr>
              <w:tab/>
            </w:r>
            <w:r w:rsidR="000467E2" w:rsidRPr="0017382B">
              <w:rPr>
                <w:rtl/>
              </w:rPr>
              <w:t>מדינת ישראל היא מדינת הלאום של העם היהודי, שבה הוא מממש את זכותו הטבעית</w:t>
            </w:r>
            <w:r w:rsidR="000467E2">
              <w:rPr>
                <w:rFonts w:hint="cs"/>
                <w:rtl/>
              </w:rPr>
              <w:t xml:space="preserve">, </w:t>
            </w:r>
            <w:r w:rsidR="000467E2" w:rsidRPr="0017382B">
              <w:rPr>
                <w:rtl/>
              </w:rPr>
              <w:t>התרבותית וההיסטורית להגדרה עצמית</w:t>
            </w:r>
            <w:r w:rsidR="000467E2" w:rsidRPr="0017382B">
              <w:t>.</w:t>
            </w:r>
          </w:p>
        </w:tc>
      </w:tr>
      <w:tr w:rsidR="000467E2" w:rsidRPr="0017382B" w14:paraId="79B83871" w14:textId="77777777" w:rsidTr="00A40F80">
        <w:trPr>
          <w:cantSplit/>
        </w:trPr>
        <w:tc>
          <w:tcPr>
            <w:tcW w:w="1871" w:type="dxa"/>
          </w:tcPr>
          <w:p w14:paraId="638EBDA5" w14:textId="77777777" w:rsidR="000467E2" w:rsidRPr="0017382B" w:rsidRDefault="000467E2" w:rsidP="00EE4D11">
            <w:pPr>
              <w:pStyle w:val="TableSideHeading"/>
              <w:keepLines w:val="0"/>
              <w:rPr>
                <w:rtl/>
              </w:rPr>
            </w:pPr>
          </w:p>
        </w:tc>
        <w:tc>
          <w:tcPr>
            <w:tcW w:w="624" w:type="dxa"/>
          </w:tcPr>
          <w:p w14:paraId="760E568E" w14:textId="77777777" w:rsidR="000467E2" w:rsidRPr="0017382B" w:rsidRDefault="000467E2" w:rsidP="00A40F80">
            <w:pPr>
              <w:pStyle w:val="TableText"/>
            </w:pPr>
          </w:p>
        </w:tc>
        <w:tc>
          <w:tcPr>
            <w:tcW w:w="7143" w:type="dxa"/>
            <w:gridSpan w:val="2"/>
          </w:tcPr>
          <w:p w14:paraId="1F1B69D8" w14:textId="203520CE" w:rsidR="000467E2" w:rsidRPr="0017382B" w:rsidRDefault="00A40F80" w:rsidP="00A40F80">
            <w:pPr>
              <w:pStyle w:val="TableBlock"/>
              <w:rPr>
                <w:rtl/>
              </w:rPr>
            </w:pPr>
            <w:r>
              <w:rPr>
                <w:rFonts w:hint="cs"/>
                <w:rtl/>
              </w:rPr>
              <w:t>(ג)</w:t>
            </w:r>
            <w:r>
              <w:rPr>
                <w:rtl/>
              </w:rPr>
              <w:tab/>
            </w:r>
            <w:r w:rsidR="000467E2" w:rsidRPr="0017382B">
              <w:rPr>
                <w:rFonts w:hint="cs"/>
                <w:rtl/>
              </w:rPr>
              <w:t>מ</w:t>
            </w:r>
            <w:r w:rsidR="000467E2" w:rsidRPr="0017382B">
              <w:rPr>
                <w:rtl/>
              </w:rPr>
              <w:t>ימוש הזכות להגדרה עצמית לאומית במדינת ישראל ייחודי לעם היהודי</w:t>
            </w:r>
            <w:r w:rsidR="000467E2" w:rsidRPr="0017382B">
              <w:t>.</w:t>
            </w:r>
          </w:p>
        </w:tc>
      </w:tr>
      <w:tr w:rsidR="000467E2" w:rsidRPr="0017382B" w14:paraId="58076588" w14:textId="77777777" w:rsidTr="00A40F80">
        <w:trPr>
          <w:cantSplit/>
        </w:trPr>
        <w:tc>
          <w:tcPr>
            <w:tcW w:w="1871" w:type="dxa"/>
          </w:tcPr>
          <w:p w14:paraId="06322F6F" w14:textId="77777777" w:rsidR="000467E2" w:rsidRPr="0017382B" w:rsidRDefault="000467E2" w:rsidP="00EE4D11">
            <w:pPr>
              <w:pStyle w:val="TableSideHeading"/>
              <w:keepLines w:val="0"/>
              <w:rPr>
                <w:rtl/>
              </w:rPr>
            </w:pPr>
          </w:p>
        </w:tc>
        <w:tc>
          <w:tcPr>
            <w:tcW w:w="624" w:type="dxa"/>
          </w:tcPr>
          <w:p w14:paraId="4E526594" w14:textId="77777777" w:rsidR="000467E2" w:rsidRPr="0017382B" w:rsidRDefault="000467E2" w:rsidP="00A40F80">
            <w:pPr>
              <w:pStyle w:val="TableText"/>
            </w:pPr>
          </w:p>
        </w:tc>
        <w:tc>
          <w:tcPr>
            <w:tcW w:w="7143" w:type="dxa"/>
            <w:gridSpan w:val="2"/>
          </w:tcPr>
          <w:p w14:paraId="4A0FB7B5" w14:textId="16399123" w:rsidR="000467E2" w:rsidRPr="0017382B" w:rsidRDefault="00A40F80" w:rsidP="00A40F80">
            <w:pPr>
              <w:pStyle w:val="TableBlock"/>
              <w:rPr>
                <w:rtl/>
              </w:rPr>
            </w:pPr>
            <w:r>
              <w:rPr>
                <w:rFonts w:hint="cs"/>
                <w:rtl/>
              </w:rPr>
              <w:t>(ד)</w:t>
            </w:r>
            <w:r>
              <w:rPr>
                <w:rtl/>
              </w:rPr>
              <w:tab/>
            </w:r>
            <w:r w:rsidR="000467E2" w:rsidRPr="0017382B">
              <w:rPr>
                <w:rtl/>
              </w:rPr>
              <w:t>מדינת ישראל תהא פתוחה לעלייה יהודית</w:t>
            </w:r>
            <w:r w:rsidR="000467E2">
              <w:rPr>
                <w:rFonts w:hint="cs"/>
                <w:rtl/>
              </w:rPr>
              <w:t xml:space="preserve"> ולקיבוץ גלויות</w:t>
            </w:r>
            <w:r w:rsidR="000467E2" w:rsidRPr="0017382B">
              <w:rPr>
                <w:rFonts w:hint="cs"/>
                <w:rtl/>
              </w:rPr>
              <w:t>.</w:t>
            </w:r>
          </w:p>
        </w:tc>
      </w:tr>
      <w:tr w:rsidR="000467E2" w:rsidRPr="0017382B" w14:paraId="1438E055" w14:textId="77777777" w:rsidTr="00A40F80">
        <w:trPr>
          <w:cantSplit/>
        </w:trPr>
        <w:tc>
          <w:tcPr>
            <w:tcW w:w="1871" w:type="dxa"/>
          </w:tcPr>
          <w:p w14:paraId="690A8D9F" w14:textId="77777777" w:rsidR="000467E2" w:rsidRPr="0017382B" w:rsidRDefault="000467E2" w:rsidP="00EE4D11">
            <w:pPr>
              <w:pStyle w:val="TableSideHeading"/>
              <w:keepLines w:val="0"/>
              <w:rPr>
                <w:rtl/>
              </w:rPr>
            </w:pPr>
          </w:p>
        </w:tc>
        <w:tc>
          <w:tcPr>
            <w:tcW w:w="624" w:type="dxa"/>
          </w:tcPr>
          <w:p w14:paraId="54E7FD87" w14:textId="77777777" w:rsidR="000467E2" w:rsidRPr="0017382B" w:rsidRDefault="000467E2" w:rsidP="00A40F80">
            <w:pPr>
              <w:pStyle w:val="TableText"/>
            </w:pPr>
          </w:p>
        </w:tc>
        <w:tc>
          <w:tcPr>
            <w:tcW w:w="7143" w:type="dxa"/>
            <w:gridSpan w:val="2"/>
          </w:tcPr>
          <w:p w14:paraId="62F60C0B" w14:textId="64BFD10C" w:rsidR="000467E2" w:rsidRPr="0017382B" w:rsidRDefault="00A40F80" w:rsidP="00A40F80">
            <w:pPr>
              <w:pStyle w:val="TableBlock"/>
              <w:rPr>
                <w:rtl/>
              </w:rPr>
            </w:pPr>
            <w:r>
              <w:rPr>
                <w:rFonts w:hint="cs"/>
                <w:rtl/>
              </w:rPr>
              <w:t>(ה)</w:t>
            </w:r>
            <w:r>
              <w:rPr>
                <w:rtl/>
              </w:rPr>
              <w:tab/>
            </w:r>
            <w:r w:rsidR="000467E2" w:rsidRPr="0017382B">
              <w:rPr>
                <w:rtl/>
              </w:rPr>
              <w:t xml:space="preserve">למדינת ישראל </w:t>
            </w:r>
            <w:r w:rsidR="000467E2">
              <w:rPr>
                <w:rFonts w:hint="cs"/>
                <w:rtl/>
              </w:rPr>
              <w:t>נתונה ה</w:t>
            </w:r>
            <w:r w:rsidR="000467E2" w:rsidRPr="0017382B">
              <w:rPr>
                <w:rtl/>
              </w:rPr>
              <w:t>סמכות לקבוע מי יבוא בשעריה</w:t>
            </w:r>
            <w:r w:rsidR="000467E2" w:rsidRPr="0017382B">
              <w:rPr>
                <w:rFonts w:hint="cs"/>
                <w:rtl/>
              </w:rPr>
              <w:t>.</w:t>
            </w:r>
          </w:p>
        </w:tc>
      </w:tr>
      <w:tr w:rsidR="007F1149" w:rsidRPr="0017382B" w14:paraId="3CA330C1" w14:textId="77777777" w:rsidTr="00A40F80">
        <w:trPr>
          <w:cantSplit/>
        </w:trPr>
        <w:tc>
          <w:tcPr>
            <w:tcW w:w="1871" w:type="dxa"/>
          </w:tcPr>
          <w:p w14:paraId="2597D2BF" w14:textId="77777777" w:rsidR="007F1149" w:rsidRPr="0017382B" w:rsidRDefault="007F1149" w:rsidP="00EE4D11">
            <w:pPr>
              <w:pStyle w:val="TableSideHeading"/>
              <w:keepLines w:val="0"/>
            </w:pPr>
            <w:r w:rsidRPr="0017382B">
              <w:rPr>
                <w:rFonts w:hint="cs"/>
                <w:rtl/>
              </w:rPr>
              <w:t>מטרה</w:t>
            </w:r>
          </w:p>
        </w:tc>
        <w:tc>
          <w:tcPr>
            <w:tcW w:w="624" w:type="dxa"/>
          </w:tcPr>
          <w:p w14:paraId="4C7CBA16" w14:textId="580FDC1E" w:rsidR="007F1149" w:rsidRPr="0017382B" w:rsidRDefault="00A40F80" w:rsidP="00A40F80">
            <w:pPr>
              <w:pStyle w:val="TableText"/>
              <w:keepLines w:val="0"/>
            </w:pPr>
            <w:r>
              <w:rPr>
                <w:rFonts w:hint="cs"/>
                <w:rtl/>
              </w:rPr>
              <w:t>2.</w:t>
            </w:r>
          </w:p>
        </w:tc>
        <w:tc>
          <w:tcPr>
            <w:tcW w:w="7143" w:type="dxa"/>
            <w:gridSpan w:val="2"/>
          </w:tcPr>
          <w:p w14:paraId="67FBA985" w14:textId="4B84DCFC" w:rsidR="007F1149" w:rsidRPr="0017382B" w:rsidRDefault="007F1149" w:rsidP="00A40F80">
            <w:pPr>
              <w:pStyle w:val="TableBlock"/>
            </w:pPr>
            <w:r>
              <w:rPr>
                <w:rtl/>
              </w:rPr>
              <w:t>מטרת חוק</w:t>
            </w:r>
            <w:r w:rsidRPr="00113ABA">
              <w:rPr>
                <w:rtl/>
              </w:rPr>
              <w:t>-</w:t>
            </w:r>
            <w:r w:rsidRPr="0017382B">
              <w:rPr>
                <w:rtl/>
              </w:rPr>
              <w:t xml:space="preserve">יסוד זה </w:t>
            </w:r>
            <w:r>
              <w:rPr>
                <w:rFonts w:hint="cs"/>
                <w:rtl/>
              </w:rPr>
              <w:t>לקבוע הוראות</w:t>
            </w:r>
            <w:r w:rsidRPr="0017382B">
              <w:rPr>
                <w:rtl/>
              </w:rPr>
              <w:t xml:space="preserve"> </w:t>
            </w:r>
            <w:r>
              <w:rPr>
                <w:rFonts w:hint="cs"/>
                <w:rtl/>
              </w:rPr>
              <w:t xml:space="preserve">לעניין </w:t>
            </w:r>
            <w:r w:rsidR="00A065F6">
              <w:rPr>
                <w:rFonts w:hint="cs"/>
                <w:rtl/>
              </w:rPr>
              <w:t xml:space="preserve">כניסה לישראל, </w:t>
            </w:r>
            <w:r>
              <w:rPr>
                <w:rFonts w:hint="cs"/>
                <w:rtl/>
              </w:rPr>
              <w:t>הגירה</w:t>
            </w:r>
            <w:r w:rsidR="009C46DF">
              <w:rPr>
                <w:rFonts w:hint="cs"/>
                <w:rtl/>
              </w:rPr>
              <w:t>,</w:t>
            </w:r>
            <w:r w:rsidR="00A065F6">
              <w:rPr>
                <w:rFonts w:hint="cs"/>
                <w:rtl/>
              </w:rPr>
              <w:t xml:space="preserve"> קבלת מעמד בישראל ו</w:t>
            </w:r>
            <w:r>
              <w:rPr>
                <w:rFonts w:hint="cs"/>
                <w:rtl/>
              </w:rPr>
              <w:t xml:space="preserve">התאזרחות, ולהבטיח </w:t>
            </w:r>
            <w:r w:rsidRPr="0017382B">
              <w:rPr>
                <w:rtl/>
              </w:rPr>
              <w:t xml:space="preserve">מדיניות הגירה </w:t>
            </w:r>
            <w:r>
              <w:rPr>
                <w:rFonts w:hint="cs"/>
                <w:rtl/>
              </w:rPr>
              <w:t>שתגן על</w:t>
            </w:r>
            <w:r w:rsidRPr="0017382B">
              <w:rPr>
                <w:rtl/>
              </w:rPr>
              <w:t xml:space="preserve"> הזכות </w:t>
            </w:r>
            <w:r>
              <w:rPr>
                <w:rFonts w:hint="cs"/>
                <w:rtl/>
              </w:rPr>
              <w:t xml:space="preserve">הייחודית </w:t>
            </w:r>
            <w:r w:rsidRPr="0017382B">
              <w:rPr>
                <w:rtl/>
              </w:rPr>
              <w:t>להגדרה עצמית של העם היהודי</w:t>
            </w:r>
            <w:r>
              <w:rPr>
                <w:rFonts w:hint="cs"/>
                <w:rtl/>
              </w:rPr>
              <w:t xml:space="preserve"> במדינת ישראל ותשמור על ריבונותה וביטחונה של מדינת ישראל.</w:t>
            </w:r>
          </w:p>
        </w:tc>
      </w:tr>
      <w:tr w:rsidR="007F1149" w:rsidRPr="0017382B" w14:paraId="41F2AE8C" w14:textId="77777777" w:rsidTr="00A40F80">
        <w:trPr>
          <w:cantSplit/>
        </w:trPr>
        <w:tc>
          <w:tcPr>
            <w:tcW w:w="1871" w:type="dxa"/>
          </w:tcPr>
          <w:p w14:paraId="5B9222FE" w14:textId="431E8A36" w:rsidR="007F1149" w:rsidRPr="0017382B" w:rsidRDefault="00617D42" w:rsidP="00EE4D11">
            <w:pPr>
              <w:pStyle w:val="TableSideHeading"/>
              <w:keepLines w:val="0"/>
            </w:pPr>
            <w:r>
              <w:rPr>
                <w:rFonts w:hint="cs"/>
                <w:rtl/>
              </w:rPr>
              <w:t>עליונות</w:t>
            </w:r>
            <w:r w:rsidRPr="0017382B">
              <w:rPr>
                <w:rFonts w:hint="cs"/>
                <w:rtl/>
              </w:rPr>
              <w:t xml:space="preserve"> </w:t>
            </w:r>
            <w:r w:rsidR="007F1149" w:rsidRPr="0017382B">
              <w:rPr>
                <w:rFonts w:hint="cs"/>
                <w:rtl/>
              </w:rPr>
              <w:t>החוק</w:t>
            </w:r>
          </w:p>
        </w:tc>
        <w:tc>
          <w:tcPr>
            <w:tcW w:w="624" w:type="dxa"/>
          </w:tcPr>
          <w:p w14:paraId="10556409" w14:textId="737C50CC" w:rsidR="007F1149" w:rsidRPr="0017382B" w:rsidRDefault="00A40F80" w:rsidP="00A40F80">
            <w:pPr>
              <w:pStyle w:val="TableText"/>
              <w:keepLines w:val="0"/>
            </w:pPr>
            <w:r>
              <w:rPr>
                <w:rFonts w:hint="cs"/>
                <w:rtl/>
              </w:rPr>
              <w:t>3.</w:t>
            </w:r>
          </w:p>
        </w:tc>
        <w:tc>
          <w:tcPr>
            <w:tcW w:w="7143" w:type="dxa"/>
            <w:gridSpan w:val="2"/>
          </w:tcPr>
          <w:p w14:paraId="7FDFA610" w14:textId="2B401C27" w:rsidR="007F1149" w:rsidRPr="0017382B" w:rsidRDefault="00617D42" w:rsidP="00A40F80">
            <w:pPr>
              <w:pStyle w:val="TableBlock"/>
            </w:pPr>
            <w:r>
              <w:rPr>
                <w:rFonts w:hint="cs"/>
                <w:rtl/>
              </w:rPr>
              <w:t>בכל סתירה בין הוראות חוק, לרבות חוק-יסוד, לבין הוראות חוק-יסוד זה</w:t>
            </w:r>
            <w:r w:rsidR="008B0BF4">
              <w:rPr>
                <w:rFonts w:hint="cs"/>
                <w:rtl/>
              </w:rPr>
              <w:t>, יחולו הוראות חוק-</w:t>
            </w:r>
            <w:r>
              <w:rPr>
                <w:rFonts w:hint="cs"/>
                <w:rtl/>
              </w:rPr>
              <w:t>יסוד זה, זולת אם נאמר בחוק או בחוק היסוד במפורש שתקפו הוא על אף האמור בחוק-יסוד זה.</w:t>
            </w:r>
          </w:p>
        </w:tc>
      </w:tr>
      <w:tr w:rsidR="007F1149" w:rsidRPr="0017382B" w14:paraId="734ACB2B" w14:textId="77777777" w:rsidTr="00A40F80">
        <w:trPr>
          <w:cantSplit/>
        </w:trPr>
        <w:tc>
          <w:tcPr>
            <w:tcW w:w="1871" w:type="dxa"/>
          </w:tcPr>
          <w:p w14:paraId="161EF8B8" w14:textId="77777777" w:rsidR="007F1149" w:rsidRPr="0017382B" w:rsidRDefault="007F1149" w:rsidP="00EE4D11">
            <w:pPr>
              <w:pStyle w:val="TableSideHeading"/>
              <w:keepLines w:val="0"/>
            </w:pPr>
            <w:r w:rsidRPr="0017382B">
              <w:rPr>
                <w:rFonts w:hint="cs"/>
                <w:rtl/>
              </w:rPr>
              <w:t>קבלת מעמד בישראל</w:t>
            </w:r>
          </w:p>
        </w:tc>
        <w:tc>
          <w:tcPr>
            <w:tcW w:w="624" w:type="dxa"/>
          </w:tcPr>
          <w:p w14:paraId="3D3865BD" w14:textId="0334A384" w:rsidR="007F1149" w:rsidRPr="0017382B" w:rsidRDefault="00A40F80" w:rsidP="00A40F80">
            <w:pPr>
              <w:pStyle w:val="TableText"/>
              <w:keepLines w:val="0"/>
            </w:pPr>
            <w:r>
              <w:rPr>
                <w:rFonts w:hint="cs"/>
                <w:rtl/>
              </w:rPr>
              <w:t>4.</w:t>
            </w:r>
          </w:p>
        </w:tc>
        <w:tc>
          <w:tcPr>
            <w:tcW w:w="7143" w:type="dxa"/>
            <w:gridSpan w:val="2"/>
          </w:tcPr>
          <w:p w14:paraId="649CED5C" w14:textId="63F13176" w:rsidR="007F1149" w:rsidRPr="0017382B" w:rsidRDefault="007F1149" w:rsidP="00A40F80">
            <w:pPr>
              <w:pStyle w:val="TableBlock"/>
            </w:pPr>
            <w:r>
              <w:rPr>
                <w:rFonts w:hint="cs"/>
                <w:rtl/>
              </w:rPr>
              <w:t xml:space="preserve">(א) </w:t>
            </w:r>
            <w:r>
              <w:rPr>
                <w:rtl/>
              </w:rPr>
              <w:tab/>
            </w:r>
            <w:r>
              <w:rPr>
                <w:rFonts w:hint="cs"/>
                <w:rtl/>
              </w:rPr>
              <w:t>הוראות לעניין תושבות ואזרחות ישראלית ייקבעו בחוק.</w:t>
            </w:r>
          </w:p>
        </w:tc>
      </w:tr>
      <w:tr w:rsidR="000467E2" w:rsidRPr="0017382B" w14:paraId="5846409A" w14:textId="77777777" w:rsidTr="00A40F80">
        <w:trPr>
          <w:cantSplit/>
        </w:trPr>
        <w:tc>
          <w:tcPr>
            <w:tcW w:w="1871" w:type="dxa"/>
          </w:tcPr>
          <w:p w14:paraId="6F50114B" w14:textId="77777777" w:rsidR="000467E2" w:rsidRPr="0017382B" w:rsidRDefault="000467E2" w:rsidP="00EE4D11">
            <w:pPr>
              <w:pStyle w:val="TableSideHeading"/>
              <w:keepLines w:val="0"/>
              <w:rPr>
                <w:rtl/>
              </w:rPr>
            </w:pPr>
          </w:p>
        </w:tc>
        <w:tc>
          <w:tcPr>
            <w:tcW w:w="624" w:type="dxa"/>
          </w:tcPr>
          <w:p w14:paraId="6DB459A9" w14:textId="77777777" w:rsidR="000467E2" w:rsidRPr="0017382B" w:rsidRDefault="000467E2" w:rsidP="00A40F80">
            <w:pPr>
              <w:pStyle w:val="TableText"/>
            </w:pPr>
          </w:p>
        </w:tc>
        <w:tc>
          <w:tcPr>
            <w:tcW w:w="7143" w:type="dxa"/>
            <w:gridSpan w:val="2"/>
          </w:tcPr>
          <w:p w14:paraId="3AE0AC7E" w14:textId="775A3651" w:rsidR="000467E2" w:rsidRDefault="000467E2" w:rsidP="00A40F80">
            <w:pPr>
              <w:pStyle w:val="TableBlock"/>
              <w:rPr>
                <w:rtl/>
              </w:rPr>
            </w:pPr>
            <w:r>
              <w:rPr>
                <w:rFonts w:hint="cs"/>
                <w:rtl/>
              </w:rPr>
              <w:t>(ב)</w:t>
            </w:r>
            <w:r>
              <w:rPr>
                <w:rtl/>
              </w:rPr>
              <w:tab/>
            </w:r>
            <w:r w:rsidRPr="0017382B">
              <w:rPr>
                <w:rtl/>
              </w:rPr>
              <w:t xml:space="preserve">הממשלה </w:t>
            </w:r>
            <w:r>
              <w:rPr>
                <w:rFonts w:hint="cs"/>
                <w:rtl/>
              </w:rPr>
              <w:t>תקבע</w:t>
            </w:r>
            <w:r w:rsidRPr="0017382B">
              <w:rPr>
                <w:rtl/>
              </w:rPr>
              <w:t xml:space="preserve">, באישור הכנסת, מכסה שנתית </w:t>
            </w:r>
            <w:r w:rsidR="004B2C6F">
              <w:rPr>
                <w:rFonts w:hint="cs"/>
                <w:rtl/>
              </w:rPr>
              <w:t>מרבית של מקבלי</w:t>
            </w:r>
            <w:r>
              <w:rPr>
                <w:rFonts w:hint="cs"/>
                <w:rtl/>
              </w:rPr>
              <w:t xml:space="preserve"> מעמד בישראל; פרטים יקבעו בחוק</w:t>
            </w:r>
            <w:r w:rsidR="00DE1203">
              <w:rPr>
                <w:rFonts w:hint="cs"/>
                <w:rtl/>
              </w:rPr>
              <w:t>;</w:t>
            </w:r>
            <w:r w:rsidR="004B2C6F">
              <w:rPr>
                <w:rFonts w:hint="cs"/>
                <w:rtl/>
              </w:rPr>
              <w:t xml:space="preserve"> </w:t>
            </w:r>
            <w:r w:rsidRPr="0017382B">
              <w:rPr>
                <w:rtl/>
              </w:rPr>
              <w:t xml:space="preserve">לעניין </w:t>
            </w:r>
            <w:r w:rsidR="00BF0F0E">
              <w:rPr>
                <w:rFonts w:hint="cs"/>
                <w:rtl/>
              </w:rPr>
              <w:t>חוק</w:t>
            </w:r>
            <w:r w:rsidR="00DE1203">
              <w:rPr>
                <w:rFonts w:hint="cs"/>
                <w:rtl/>
              </w:rPr>
              <w:t>-יסוד</w:t>
            </w:r>
            <w:r w:rsidRPr="0017382B">
              <w:rPr>
                <w:rtl/>
              </w:rPr>
              <w:t xml:space="preserve"> זה, "מעמד "</w:t>
            </w:r>
            <w:r w:rsidRPr="0017382B">
              <w:rPr>
                <w:rFonts w:hint="cs"/>
                <w:rtl/>
              </w:rPr>
              <w:t xml:space="preserve"> </w:t>
            </w:r>
            <w:r w:rsidR="00BF0F0E">
              <w:rPr>
                <w:rFonts w:hint="cs"/>
                <w:rtl/>
              </w:rPr>
              <w:t>–</w:t>
            </w:r>
            <w:r w:rsidRPr="0017382B">
              <w:rPr>
                <w:rtl/>
              </w:rPr>
              <w:t xml:space="preserve"> </w:t>
            </w:r>
            <w:r>
              <w:rPr>
                <w:rtl/>
              </w:rPr>
              <w:t>אזרחות</w:t>
            </w:r>
            <w:r w:rsidR="00BF0F0E">
              <w:rPr>
                <w:rFonts w:hint="cs"/>
                <w:rtl/>
              </w:rPr>
              <w:t>, אשרה או רישיון</w:t>
            </w:r>
            <w:r w:rsidRPr="0017382B">
              <w:rPr>
                <w:rtl/>
              </w:rPr>
              <w:t xml:space="preserve"> שמכוחו </w:t>
            </w:r>
            <w:r w:rsidR="00BF0F0E">
              <w:rPr>
                <w:rFonts w:hint="cs"/>
                <w:rtl/>
              </w:rPr>
              <w:t xml:space="preserve">רשאי </w:t>
            </w:r>
            <w:r w:rsidRPr="0017382B">
              <w:rPr>
                <w:rtl/>
              </w:rPr>
              <w:t xml:space="preserve">אדם שאינו אזרח </w:t>
            </w:r>
            <w:r w:rsidR="00BF0F0E">
              <w:rPr>
                <w:rFonts w:hint="cs"/>
                <w:rtl/>
              </w:rPr>
              <w:t xml:space="preserve">ישראלי </w:t>
            </w:r>
            <w:r w:rsidRPr="0017382B">
              <w:rPr>
                <w:rtl/>
              </w:rPr>
              <w:t xml:space="preserve">או תושב </w:t>
            </w:r>
            <w:r w:rsidR="00BF0F0E">
              <w:rPr>
                <w:rFonts w:hint="cs"/>
                <w:rtl/>
              </w:rPr>
              <w:t xml:space="preserve">ישראל </w:t>
            </w:r>
            <w:r w:rsidRPr="0017382B">
              <w:rPr>
                <w:rtl/>
              </w:rPr>
              <w:t xml:space="preserve">לשהות בישראל לתקופה </w:t>
            </w:r>
            <w:r>
              <w:rPr>
                <w:rFonts w:hint="cs"/>
                <w:rtl/>
              </w:rPr>
              <w:t xml:space="preserve">העולה על </w:t>
            </w:r>
            <w:r w:rsidRPr="0017382B">
              <w:rPr>
                <w:rtl/>
              </w:rPr>
              <w:t>שנה.</w:t>
            </w:r>
          </w:p>
        </w:tc>
      </w:tr>
      <w:tr w:rsidR="000467E2" w:rsidRPr="0017382B" w14:paraId="65B53F0E" w14:textId="77777777" w:rsidTr="00A40F80">
        <w:trPr>
          <w:cantSplit/>
        </w:trPr>
        <w:tc>
          <w:tcPr>
            <w:tcW w:w="1871" w:type="dxa"/>
          </w:tcPr>
          <w:p w14:paraId="078CD528" w14:textId="77777777" w:rsidR="000467E2" w:rsidRPr="0017382B" w:rsidRDefault="000467E2" w:rsidP="00EE4D11">
            <w:pPr>
              <w:pStyle w:val="TableSideHeading"/>
              <w:keepLines w:val="0"/>
              <w:rPr>
                <w:rtl/>
              </w:rPr>
            </w:pPr>
          </w:p>
        </w:tc>
        <w:tc>
          <w:tcPr>
            <w:tcW w:w="624" w:type="dxa"/>
          </w:tcPr>
          <w:p w14:paraId="40DA1A20" w14:textId="77777777" w:rsidR="000467E2" w:rsidRPr="0017382B" w:rsidRDefault="000467E2" w:rsidP="00A40F80">
            <w:pPr>
              <w:pStyle w:val="TableText"/>
            </w:pPr>
          </w:p>
        </w:tc>
        <w:tc>
          <w:tcPr>
            <w:tcW w:w="7143" w:type="dxa"/>
            <w:gridSpan w:val="2"/>
          </w:tcPr>
          <w:p w14:paraId="0A29191E" w14:textId="3B690B2A" w:rsidR="000467E2" w:rsidRDefault="000467E2" w:rsidP="00A40F80">
            <w:pPr>
              <w:pStyle w:val="TableBlock"/>
              <w:rPr>
                <w:rtl/>
              </w:rPr>
            </w:pPr>
            <w:r>
              <w:rPr>
                <w:rFonts w:hint="cs"/>
                <w:rtl/>
              </w:rPr>
              <w:t>(ג)</w:t>
            </w:r>
            <w:r w:rsidRPr="0017382B">
              <w:rPr>
                <w:rtl/>
              </w:rPr>
              <w:t xml:space="preserve"> </w:t>
            </w:r>
            <w:r>
              <w:rPr>
                <w:rtl/>
              </w:rPr>
              <w:tab/>
            </w:r>
            <w:r>
              <w:rPr>
                <w:rFonts w:hint="cs"/>
                <w:rtl/>
              </w:rPr>
              <w:t xml:space="preserve">אדם </w:t>
            </w:r>
            <w:r w:rsidR="00BF0F0E">
              <w:rPr>
                <w:rFonts w:hint="cs"/>
                <w:rtl/>
              </w:rPr>
              <w:t>ש</w:t>
            </w:r>
            <w:r w:rsidRPr="0017382B">
              <w:rPr>
                <w:rtl/>
              </w:rPr>
              <w:t xml:space="preserve">נכנס לישראל או שהה בה </w:t>
            </w:r>
            <w:r>
              <w:rPr>
                <w:rFonts w:hint="cs"/>
                <w:rtl/>
              </w:rPr>
              <w:t>לתקופה</w:t>
            </w:r>
            <w:r w:rsidRPr="0017382B">
              <w:rPr>
                <w:rtl/>
              </w:rPr>
              <w:t xml:space="preserve"> העולה על שלושה חודשים בניגוד לחוק, </w:t>
            </w:r>
            <w:r>
              <w:rPr>
                <w:rFonts w:hint="cs"/>
                <w:rtl/>
              </w:rPr>
              <w:t xml:space="preserve">לא יקבל </w:t>
            </w:r>
            <w:r w:rsidRPr="0017382B">
              <w:rPr>
                <w:rtl/>
              </w:rPr>
              <w:t>מעמד בישראל</w:t>
            </w:r>
            <w:r>
              <w:rPr>
                <w:rFonts w:hint="cs"/>
                <w:rtl/>
              </w:rPr>
              <w:t>.</w:t>
            </w:r>
          </w:p>
        </w:tc>
      </w:tr>
      <w:tr w:rsidR="000467E2" w:rsidRPr="0017382B" w14:paraId="344B5C8F" w14:textId="77777777" w:rsidTr="00A40F80">
        <w:trPr>
          <w:cantSplit/>
        </w:trPr>
        <w:tc>
          <w:tcPr>
            <w:tcW w:w="1871" w:type="dxa"/>
          </w:tcPr>
          <w:p w14:paraId="555391DB" w14:textId="77777777" w:rsidR="000467E2" w:rsidRPr="0017382B" w:rsidRDefault="000467E2" w:rsidP="00EE4D11">
            <w:pPr>
              <w:pStyle w:val="TableSideHeading"/>
              <w:keepLines w:val="0"/>
              <w:rPr>
                <w:rtl/>
              </w:rPr>
            </w:pPr>
          </w:p>
        </w:tc>
        <w:tc>
          <w:tcPr>
            <w:tcW w:w="624" w:type="dxa"/>
          </w:tcPr>
          <w:p w14:paraId="020F5A0D" w14:textId="77777777" w:rsidR="000467E2" w:rsidRPr="0017382B" w:rsidRDefault="000467E2" w:rsidP="00A40F80">
            <w:pPr>
              <w:pStyle w:val="TableText"/>
            </w:pPr>
          </w:p>
        </w:tc>
        <w:tc>
          <w:tcPr>
            <w:tcW w:w="7143" w:type="dxa"/>
            <w:gridSpan w:val="2"/>
          </w:tcPr>
          <w:p w14:paraId="21FE4FE2" w14:textId="51C84CE3" w:rsidR="000467E2" w:rsidRDefault="000467E2" w:rsidP="00A40F80">
            <w:pPr>
              <w:pStyle w:val="TableBlock"/>
              <w:rPr>
                <w:rtl/>
              </w:rPr>
            </w:pPr>
            <w:r>
              <w:rPr>
                <w:rFonts w:hint="cs"/>
                <w:rtl/>
              </w:rPr>
              <w:t xml:space="preserve">(ד) </w:t>
            </w:r>
            <w:r>
              <w:rPr>
                <w:rtl/>
              </w:rPr>
              <w:tab/>
            </w:r>
            <w:r>
              <w:rPr>
                <w:rFonts w:hint="cs"/>
                <w:rtl/>
              </w:rPr>
              <w:t>הוראות סעיפים קטנים (ב) ו-(ג) לא יחולו על מי שזכאי ל</w:t>
            </w:r>
            <w:r w:rsidR="004B2C6F">
              <w:rPr>
                <w:rFonts w:hint="cs"/>
                <w:rtl/>
              </w:rPr>
              <w:t xml:space="preserve">עלות לארץ </w:t>
            </w:r>
            <w:r>
              <w:rPr>
                <w:rFonts w:hint="cs"/>
                <w:rtl/>
              </w:rPr>
              <w:t>על פי חוק השבות</w:t>
            </w:r>
            <w:r w:rsidRPr="0017382B">
              <w:rPr>
                <w:rtl/>
              </w:rPr>
              <w:t xml:space="preserve">, </w:t>
            </w:r>
            <w:proofErr w:type="spellStart"/>
            <w:r>
              <w:rPr>
                <w:rFonts w:hint="cs"/>
                <w:rtl/>
              </w:rPr>
              <w:t>ה</w:t>
            </w:r>
            <w:r w:rsidRPr="0017382B">
              <w:rPr>
                <w:rtl/>
              </w:rPr>
              <w:t>תש"י</w:t>
            </w:r>
            <w:proofErr w:type="spellEnd"/>
            <w:r>
              <w:rPr>
                <w:rFonts w:hint="cs"/>
                <w:rtl/>
              </w:rPr>
              <w:t>–</w:t>
            </w:r>
            <w:r w:rsidRPr="0017382B">
              <w:rPr>
                <w:rtl/>
              </w:rPr>
              <w:t>1950</w:t>
            </w:r>
            <w:r w:rsidRPr="00A40F80">
              <w:rPr>
                <w:rStyle w:val="a6"/>
                <w:rFonts w:ascii="David" w:hAnsi="David"/>
                <w:sz w:val="26"/>
                <w:rtl/>
              </w:rPr>
              <w:footnoteReference w:id="2"/>
            </w:r>
            <w:r>
              <w:rPr>
                <w:rFonts w:hint="cs"/>
                <w:rtl/>
              </w:rPr>
              <w:t>.</w:t>
            </w:r>
          </w:p>
        </w:tc>
      </w:tr>
      <w:tr w:rsidR="007F1149" w:rsidRPr="0017382B" w14:paraId="3870A8EC" w14:textId="77777777" w:rsidTr="00A40F80">
        <w:trPr>
          <w:cantSplit/>
        </w:trPr>
        <w:tc>
          <w:tcPr>
            <w:tcW w:w="1871" w:type="dxa"/>
          </w:tcPr>
          <w:p w14:paraId="17612E47" w14:textId="77777777" w:rsidR="007F1149" w:rsidRPr="0017382B" w:rsidRDefault="007F1149" w:rsidP="00EE4D11">
            <w:pPr>
              <w:pStyle w:val="TableSideHeading"/>
              <w:keepLines w:val="0"/>
            </w:pPr>
            <w:r w:rsidRPr="0017382B">
              <w:rPr>
                <w:rFonts w:hint="cs"/>
                <w:rtl/>
              </w:rPr>
              <w:t>כניסה לישראל</w:t>
            </w:r>
          </w:p>
        </w:tc>
        <w:tc>
          <w:tcPr>
            <w:tcW w:w="624" w:type="dxa"/>
          </w:tcPr>
          <w:p w14:paraId="063924CD" w14:textId="2FFE6B4D" w:rsidR="007F1149" w:rsidRPr="0017382B" w:rsidRDefault="00A40F80" w:rsidP="00A40F80">
            <w:pPr>
              <w:pStyle w:val="TableText"/>
              <w:keepLines w:val="0"/>
            </w:pPr>
            <w:r>
              <w:rPr>
                <w:rFonts w:hint="cs"/>
                <w:rtl/>
              </w:rPr>
              <w:t>5.</w:t>
            </w:r>
          </w:p>
        </w:tc>
        <w:tc>
          <w:tcPr>
            <w:tcW w:w="7143" w:type="dxa"/>
            <w:gridSpan w:val="2"/>
          </w:tcPr>
          <w:p w14:paraId="7A7A147B" w14:textId="44596DA2" w:rsidR="007F1149" w:rsidRPr="0017382B" w:rsidRDefault="007F1149" w:rsidP="00A40F80">
            <w:pPr>
              <w:pStyle w:val="TableBlock"/>
              <w:numPr>
                <w:ilvl w:val="2"/>
                <w:numId w:val="12"/>
              </w:numPr>
              <w:tabs>
                <w:tab w:val="left" w:pos="624"/>
              </w:tabs>
            </w:pPr>
            <w:r w:rsidRPr="00830299">
              <w:rPr>
                <w:rFonts w:hint="cs"/>
                <w:rtl/>
              </w:rPr>
              <w:t xml:space="preserve">הוראות לעניין כניסה לישראל ייקבעו בחוק. </w:t>
            </w:r>
          </w:p>
        </w:tc>
      </w:tr>
      <w:tr w:rsidR="000467E2" w:rsidRPr="0017382B" w14:paraId="549C2E69" w14:textId="77777777" w:rsidTr="00A40F80">
        <w:trPr>
          <w:cantSplit/>
        </w:trPr>
        <w:tc>
          <w:tcPr>
            <w:tcW w:w="1871" w:type="dxa"/>
          </w:tcPr>
          <w:p w14:paraId="3893FA4F" w14:textId="77777777" w:rsidR="000467E2" w:rsidRPr="0017382B" w:rsidRDefault="000467E2" w:rsidP="00EE4D11">
            <w:pPr>
              <w:pStyle w:val="TableSideHeading"/>
              <w:keepLines w:val="0"/>
              <w:rPr>
                <w:rtl/>
              </w:rPr>
            </w:pPr>
          </w:p>
        </w:tc>
        <w:tc>
          <w:tcPr>
            <w:tcW w:w="624" w:type="dxa"/>
          </w:tcPr>
          <w:p w14:paraId="1FF67C3F" w14:textId="77777777" w:rsidR="000467E2" w:rsidRPr="0017382B" w:rsidRDefault="000467E2" w:rsidP="00A40F80">
            <w:pPr>
              <w:pStyle w:val="TableText"/>
            </w:pPr>
          </w:p>
        </w:tc>
        <w:tc>
          <w:tcPr>
            <w:tcW w:w="7143" w:type="dxa"/>
            <w:gridSpan w:val="2"/>
          </w:tcPr>
          <w:p w14:paraId="4E0944AB" w14:textId="3083CF34" w:rsidR="000467E2" w:rsidRPr="00830299" w:rsidRDefault="000467E2" w:rsidP="00A40F80">
            <w:pPr>
              <w:pStyle w:val="TableBlock"/>
              <w:numPr>
                <w:ilvl w:val="2"/>
                <w:numId w:val="12"/>
              </w:numPr>
              <w:tabs>
                <w:tab w:val="left" w:pos="624"/>
              </w:tabs>
              <w:rPr>
                <w:rtl/>
              </w:rPr>
            </w:pPr>
            <w:r w:rsidRPr="00830299">
              <w:rPr>
                <w:rFonts w:hint="eastAsia"/>
                <w:rtl/>
              </w:rPr>
              <w:t>מי</w:t>
            </w:r>
            <w:r w:rsidRPr="00830299">
              <w:rPr>
                <w:rtl/>
              </w:rPr>
              <w:t xml:space="preserve"> שאינו אזרח</w:t>
            </w:r>
            <w:r w:rsidR="00BF0F0E">
              <w:rPr>
                <w:rFonts w:hint="cs"/>
                <w:rtl/>
              </w:rPr>
              <w:t xml:space="preserve"> ישראלי</w:t>
            </w:r>
            <w:r w:rsidRPr="00830299">
              <w:rPr>
                <w:rtl/>
              </w:rPr>
              <w:t xml:space="preserve"> או תושב ישראל אינו רשאי לפנות </w:t>
            </w:r>
            <w:r w:rsidRPr="00830299">
              <w:rPr>
                <w:rFonts w:hint="eastAsia"/>
                <w:rtl/>
              </w:rPr>
              <w:t>לבית</w:t>
            </w:r>
            <w:r w:rsidRPr="00830299">
              <w:rPr>
                <w:rtl/>
              </w:rPr>
              <w:t xml:space="preserve"> </w:t>
            </w:r>
            <w:r w:rsidRPr="00830299">
              <w:rPr>
                <w:rFonts w:hint="eastAsia"/>
                <w:rtl/>
              </w:rPr>
              <w:t>המשפט</w:t>
            </w:r>
            <w:r w:rsidRPr="00830299">
              <w:rPr>
                <w:rtl/>
              </w:rPr>
              <w:t xml:space="preserve"> </w:t>
            </w:r>
            <w:r w:rsidRPr="00830299">
              <w:rPr>
                <w:rFonts w:hint="eastAsia"/>
                <w:rtl/>
              </w:rPr>
              <w:t>למתן</w:t>
            </w:r>
            <w:r w:rsidRPr="00830299">
              <w:rPr>
                <w:rtl/>
              </w:rPr>
              <w:t xml:space="preserve"> סעד לעניין </w:t>
            </w:r>
            <w:r w:rsidRPr="00830299">
              <w:rPr>
                <w:rFonts w:hint="eastAsia"/>
                <w:rtl/>
              </w:rPr>
              <w:t>כניסה</w:t>
            </w:r>
            <w:r w:rsidRPr="00830299">
              <w:rPr>
                <w:rtl/>
              </w:rPr>
              <w:t xml:space="preserve"> </w:t>
            </w:r>
            <w:r w:rsidRPr="00830299">
              <w:rPr>
                <w:rFonts w:hint="eastAsia"/>
                <w:rtl/>
              </w:rPr>
              <w:t>לישראל</w:t>
            </w:r>
            <w:r w:rsidRPr="00830299">
              <w:rPr>
                <w:rFonts w:hint="cs"/>
                <w:rtl/>
              </w:rPr>
              <w:t>, ובית המשפט לא יעניק סעד בעניינו אלא אם קבע כי הוא זכאי למעמד בישראל על פי חוק</w:t>
            </w:r>
            <w:r w:rsidRPr="00830299">
              <w:rPr>
                <w:rtl/>
              </w:rPr>
              <w:t xml:space="preserve">. </w:t>
            </w:r>
          </w:p>
        </w:tc>
      </w:tr>
      <w:tr w:rsidR="000467E2" w:rsidRPr="0017382B" w14:paraId="0E9633E4" w14:textId="77777777" w:rsidTr="00A40F80">
        <w:trPr>
          <w:cantSplit/>
        </w:trPr>
        <w:tc>
          <w:tcPr>
            <w:tcW w:w="1871" w:type="dxa"/>
          </w:tcPr>
          <w:p w14:paraId="7BD8DABF" w14:textId="77777777" w:rsidR="000467E2" w:rsidRPr="0017382B" w:rsidRDefault="000467E2" w:rsidP="00EE4D11">
            <w:pPr>
              <w:pStyle w:val="TableSideHeading"/>
              <w:keepLines w:val="0"/>
              <w:rPr>
                <w:rtl/>
              </w:rPr>
            </w:pPr>
          </w:p>
        </w:tc>
        <w:tc>
          <w:tcPr>
            <w:tcW w:w="624" w:type="dxa"/>
          </w:tcPr>
          <w:p w14:paraId="494CBB43" w14:textId="77777777" w:rsidR="000467E2" w:rsidRPr="0017382B" w:rsidRDefault="000467E2" w:rsidP="00A40F80">
            <w:pPr>
              <w:pStyle w:val="TableText"/>
            </w:pPr>
          </w:p>
        </w:tc>
        <w:tc>
          <w:tcPr>
            <w:tcW w:w="7143" w:type="dxa"/>
            <w:gridSpan w:val="2"/>
          </w:tcPr>
          <w:p w14:paraId="1FB8C625" w14:textId="5DFEF4A6" w:rsidR="000467E2" w:rsidRPr="00830299" w:rsidRDefault="000467E2" w:rsidP="00A40F80">
            <w:pPr>
              <w:pStyle w:val="TableBlock"/>
              <w:numPr>
                <w:ilvl w:val="2"/>
                <w:numId w:val="12"/>
              </w:numPr>
              <w:tabs>
                <w:tab w:val="left" w:pos="624"/>
              </w:tabs>
              <w:rPr>
                <w:rtl/>
              </w:rPr>
            </w:pPr>
            <w:r w:rsidRPr="00830299">
              <w:rPr>
                <w:rFonts w:hint="cs"/>
                <w:rtl/>
              </w:rPr>
              <w:t>הורא</w:t>
            </w:r>
            <w:r w:rsidR="00EE7F2E">
              <w:rPr>
                <w:rFonts w:hint="cs"/>
                <w:rtl/>
              </w:rPr>
              <w:t>ו</w:t>
            </w:r>
            <w:r w:rsidRPr="00830299">
              <w:rPr>
                <w:rFonts w:hint="cs"/>
                <w:rtl/>
              </w:rPr>
              <w:t>ת סעיף קטן (ב) לא יחולו על מי שזכאי לעלות לארץ על פי חוק השבות</w:t>
            </w:r>
            <w:r w:rsidRPr="00830299">
              <w:rPr>
                <w:rtl/>
              </w:rPr>
              <w:t xml:space="preserve">, </w:t>
            </w:r>
            <w:proofErr w:type="spellStart"/>
            <w:r w:rsidRPr="00830299">
              <w:rPr>
                <w:rFonts w:hint="cs"/>
                <w:rtl/>
              </w:rPr>
              <w:t>ה</w:t>
            </w:r>
            <w:r w:rsidRPr="00830299">
              <w:rPr>
                <w:rtl/>
              </w:rPr>
              <w:t>תש"י</w:t>
            </w:r>
            <w:proofErr w:type="spellEnd"/>
            <w:r w:rsidRPr="00830299">
              <w:rPr>
                <w:rFonts w:hint="cs"/>
                <w:rtl/>
              </w:rPr>
              <w:t>–</w:t>
            </w:r>
            <w:r w:rsidRPr="0017382B">
              <w:rPr>
                <w:rtl/>
              </w:rPr>
              <w:t>1950</w:t>
            </w:r>
            <w:r>
              <w:rPr>
                <w:rFonts w:hint="cs"/>
                <w:rtl/>
              </w:rPr>
              <w:t>.</w:t>
            </w:r>
          </w:p>
        </w:tc>
      </w:tr>
      <w:tr w:rsidR="007F1149" w:rsidRPr="0017382B" w14:paraId="21670B94" w14:textId="77777777" w:rsidTr="00A40F80">
        <w:trPr>
          <w:cantSplit/>
        </w:trPr>
        <w:tc>
          <w:tcPr>
            <w:tcW w:w="1871" w:type="dxa"/>
          </w:tcPr>
          <w:p w14:paraId="550D317C" w14:textId="2555F606" w:rsidR="007F1149" w:rsidRPr="0017382B" w:rsidRDefault="007F1149" w:rsidP="00EE4D11">
            <w:pPr>
              <w:pStyle w:val="TableSideHeading"/>
              <w:keepLines w:val="0"/>
            </w:pPr>
            <w:r w:rsidRPr="0017382B">
              <w:rPr>
                <w:rFonts w:hint="cs"/>
                <w:rtl/>
              </w:rPr>
              <w:t>מניעת כניסה לישראל</w:t>
            </w:r>
          </w:p>
        </w:tc>
        <w:tc>
          <w:tcPr>
            <w:tcW w:w="624" w:type="dxa"/>
          </w:tcPr>
          <w:p w14:paraId="76305462" w14:textId="4E67406A" w:rsidR="007F1149" w:rsidRPr="0017382B" w:rsidRDefault="00A40F80" w:rsidP="00A40F80">
            <w:pPr>
              <w:pStyle w:val="TableText"/>
              <w:keepLines w:val="0"/>
            </w:pPr>
            <w:r>
              <w:rPr>
                <w:rFonts w:hint="cs"/>
                <w:rtl/>
              </w:rPr>
              <w:t>6.</w:t>
            </w:r>
          </w:p>
        </w:tc>
        <w:tc>
          <w:tcPr>
            <w:tcW w:w="7143" w:type="dxa"/>
            <w:gridSpan w:val="2"/>
          </w:tcPr>
          <w:p w14:paraId="0A7E1136" w14:textId="7F151209" w:rsidR="007F1149" w:rsidRPr="000467E2" w:rsidRDefault="00A40F80" w:rsidP="00A40F80">
            <w:pPr>
              <w:pStyle w:val="TableBlock"/>
              <w:rPr>
                <w:rtl/>
              </w:rPr>
            </w:pPr>
            <w:r w:rsidRPr="00A40F80">
              <w:rPr>
                <w:rFonts w:hint="cs"/>
                <w:rtl/>
              </w:rPr>
              <w:t>(א</w:t>
            </w:r>
            <w:r>
              <w:rPr>
                <w:rFonts w:hint="cs"/>
                <w:rtl/>
              </w:rPr>
              <w:t>)</w:t>
            </w:r>
            <w:r>
              <w:rPr>
                <w:rFonts w:hint="cs"/>
                <w:rtl/>
              </w:rPr>
              <w:tab/>
            </w:r>
            <w:r w:rsidR="007F1149" w:rsidRPr="000467E2">
              <w:rPr>
                <w:rFonts w:hint="cs"/>
                <w:rtl/>
              </w:rPr>
              <w:t>הוראות לעניין מניעת כניסה לישראל ייקבעו בחוק.</w:t>
            </w:r>
          </w:p>
        </w:tc>
      </w:tr>
      <w:tr w:rsidR="000467E2" w:rsidRPr="0017382B" w14:paraId="5208883C" w14:textId="77777777" w:rsidTr="00A40F80">
        <w:trPr>
          <w:cantSplit/>
        </w:trPr>
        <w:tc>
          <w:tcPr>
            <w:tcW w:w="1871" w:type="dxa"/>
          </w:tcPr>
          <w:p w14:paraId="60E80E3A" w14:textId="77777777" w:rsidR="000467E2" w:rsidRDefault="000467E2" w:rsidP="00EE4D11">
            <w:pPr>
              <w:pStyle w:val="TableSideHeading"/>
              <w:keepLines w:val="0"/>
              <w:rPr>
                <w:rtl/>
              </w:rPr>
            </w:pPr>
          </w:p>
        </w:tc>
        <w:tc>
          <w:tcPr>
            <w:tcW w:w="624" w:type="dxa"/>
          </w:tcPr>
          <w:p w14:paraId="41769FEF" w14:textId="77777777" w:rsidR="000467E2" w:rsidRPr="0017382B" w:rsidRDefault="000467E2" w:rsidP="00A40F80">
            <w:pPr>
              <w:pStyle w:val="TableText"/>
            </w:pPr>
          </w:p>
        </w:tc>
        <w:tc>
          <w:tcPr>
            <w:tcW w:w="7143" w:type="dxa"/>
            <w:gridSpan w:val="2"/>
          </w:tcPr>
          <w:p w14:paraId="7EE27DFE" w14:textId="79581040" w:rsidR="000467E2" w:rsidRPr="000467E2" w:rsidRDefault="00A40F80" w:rsidP="00A40F80">
            <w:pPr>
              <w:pStyle w:val="TableBlock"/>
              <w:rPr>
                <w:rtl/>
              </w:rPr>
            </w:pPr>
            <w:r>
              <w:rPr>
                <w:rFonts w:hint="cs"/>
                <w:rtl/>
              </w:rPr>
              <w:t>(ב)</w:t>
            </w:r>
            <w:r>
              <w:rPr>
                <w:rtl/>
              </w:rPr>
              <w:tab/>
            </w:r>
            <w:r w:rsidR="000467E2" w:rsidRPr="000467E2">
              <w:rPr>
                <w:rtl/>
              </w:rPr>
              <w:t xml:space="preserve">הממשלה רשאית, באישור הכנסת, </w:t>
            </w:r>
            <w:r w:rsidR="000467E2" w:rsidRPr="000467E2">
              <w:rPr>
                <w:rFonts w:hint="eastAsia"/>
                <w:rtl/>
              </w:rPr>
              <w:t>לקבוע</w:t>
            </w:r>
            <w:r w:rsidR="000467E2" w:rsidRPr="000467E2">
              <w:rPr>
                <w:rtl/>
              </w:rPr>
              <w:t xml:space="preserve"> כי </w:t>
            </w:r>
            <w:r w:rsidR="000467E2" w:rsidRPr="000467E2">
              <w:rPr>
                <w:rFonts w:hint="eastAsia"/>
                <w:rtl/>
              </w:rPr>
              <w:t>אזרחים</w:t>
            </w:r>
            <w:r w:rsidR="000467E2" w:rsidRPr="000467E2">
              <w:rPr>
                <w:rtl/>
              </w:rPr>
              <w:t xml:space="preserve"> או </w:t>
            </w:r>
            <w:r w:rsidR="000467E2" w:rsidRPr="000467E2">
              <w:rPr>
                <w:rFonts w:hint="eastAsia"/>
                <w:rtl/>
              </w:rPr>
              <w:t>תושבים</w:t>
            </w:r>
            <w:r w:rsidR="000467E2" w:rsidRPr="000467E2">
              <w:rPr>
                <w:rtl/>
              </w:rPr>
              <w:t xml:space="preserve"> של </w:t>
            </w:r>
            <w:r w:rsidR="000467E2" w:rsidRPr="000467E2">
              <w:rPr>
                <w:rFonts w:hint="eastAsia"/>
                <w:rtl/>
              </w:rPr>
              <w:t>מדינות</w:t>
            </w:r>
            <w:r w:rsidR="000467E2" w:rsidRPr="000467E2">
              <w:rPr>
                <w:rtl/>
              </w:rPr>
              <w:t xml:space="preserve"> </w:t>
            </w:r>
            <w:r w:rsidR="000467E2" w:rsidRPr="000467E2">
              <w:rPr>
                <w:rFonts w:hint="eastAsia"/>
                <w:rtl/>
              </w:rPr>
              <w:t>או</w:t>
            </w:r>
            <w:r w:rsidR="000467E2" w:rsidRPr="000467E2">
              <w:rPr>
                <w:rtl/>
              </w:rPr>
              <w:t xml:space="preserve"> </w:t>
            </w:r>
            <w:r w:rsidR="000467E2" w:rsidRPr="000467E2">
              <w:rPr>
                <w:rFonts w:hint="eastAsia"/>
                <w:rtl/>
              </w:rPr>
              <w:t>אזורים</w:t>
            </w:r>
            <w:r w:rsidR="000467E2" w:rsidRPr="000467E2">
              <w:rPr>
                <w:rtl/>
              </w:rPr>
              <w:t xml:space="preserve"> </w:t>
            </w:r>
            <w:r w:rsidR="000467E2" w:rsidRPr="000467E2">
              <w:rPr>
                <w:rFonts w:hint="eastAsia"/>
                <w:rtl/>
              </w:rPr>
              <w:t>מסוימים</w:t>
            </w:r>
            <w:r w:rsidR="000467E2" w:rsidRPr="000467E2">
              <w:rPr>
                <w:rtl/>
              </w:rPr>
              <w:t xml:space="preserve"> לא יקבלו </w:t>
            </w:r>
            <w:r w:rsidR="000467E2" w:rsidRPr="000467E2">
              <w:rPr>
                <w:rFonts w:hint="eastAsia"/>
                <w:rtl/>
              </w:rPr>
              <w:t>מעמד</w:t>
            </w:r>
            <w:r w:rsidR="000467E2" w:rsidRPr="000467E2">
              <w:rPr>
                <w:rtl/>
              </w:rPr>
              <w:t xml:space="preserve"> </w:t>
            </w:r>
            <w:r w:rsidR="000467E2" w:rsidRPr="000467E2">
              <w:rPr>
                <w:rFonts w:hint="cs"/>
                <w:rtl/>
              </w:rPr>
              <w:t xml:space="preserve">או היתר שהייה </w:t>
            </w:r>
            <w:r w:rsidR="000467E2" w:rsidRPr="000467E2">
              <w:rPr>
                <w:rFonts w:hint="eastAsia"/>
                <w:rtl/>
              </w:rPr>
              <w:t>בישראל</w:t>
            </w:r>
            <w:r w:rsidR="000467E2" w:rsidRPr="000467E2">
              <w:rPr>
                <w:rtl/>
              </w:rPr>
              <w:t xml:space="preserve">; </w:t>
            </w:r>
            <w:r w:rsidR="000467E2" w:rsidRPr="000467E2">
              <w:rPr>
                <w:rFonts w:hint="eastAsia"/>
                <w:rtl/>
              </w:rPr>
              <w:t>פרטים</w:t>
            </w:r>
            <w:r w:rsidR="000467E2" w:rsidRPr="000467E2">
              <w:rPr>
                <w:rtl/>
              </w:rPr>
              <w:t xml:space="preserve"> </w:t>
            </w:r>
            <w:r w:rsidR="000467E2" w:rsidRPr="000467E2">
              <w:rPr>
                <w:rFonts w:hint="eastAsia"/>
                <w:rtl/>
              </w:rPr>
              <w:t>ייקבעו</w:t>
            </w:r>
            <w:r w:rsidR="000467E2" w:rsidRPr="000467E2">
              <w:rPr>
                <w:rtl/>
              </w:rPr>
              <w:t xml:space="preserve"> </w:t>
            </w:r>
            <w:r w:rsidR="000467E2" w:rsidRPr="000467E2">
              <w:rPr>
                <w:rFonts w:hint="eastAsia"/>
                <w:rtl/>
              </w:rPr>
              <w:t>בחוק</w:t>
            </w:r>
            <w:r w:rsidR="000467E2" w:rsidRPr="000467E2">
              <w:rPr>
                <w:rtl/>
              </w:rPr>
              <w:t>.</w:t>
            </w:r>
            <w:r w:rsidR="000467E2" w:rsidRPr="000467E2">
              <w:rPr>
                <w:rFonts w:hint="cs"/>
                <w:rtl/>
              </w:rPr>
              <w:t xml:space="preserve"> </w:t>
            </w:r>
          </w:p>
        </w:tc>
      </w:tr>
      <w:tr w:rsidR="007F1149" w:rsidRPr="0017382B" w14:paraId="1C123FBD" w14:textId="77777777" w:rsidTr="00A40F80">
        <w:trPr>
          <w:cantSplit/>
        </w:trPr>
        <w:tc>
          <w:tcPr>
            <w:tcW w:w="1871" w:type="dxa"/>
          </w:tcPr>
          <w:p w14:paraId="0933E0C5" w14:textId="5928D21B" w:rsidR="007F1149" w:rsidRPr="0017382B" w:rsidRDefault="007F1149" w:rsidP="00EE4D11">
            <w:pPr>
              <w:pStyle w:val="TableSideHeading"/>
              <w:keepLines w:val="0"/>
            </w:pPr>
            <w:r w:rsidRPr="0017382B">
              <w:rPr>
                <w:rFonts w:hint="cs"/>
                <w:rtl/>
              </w:rPr>
              <w:t>חובת הרחקה</w:t>
            </w:r>
            <w:r w:rsidR="00EA409C">
              <w:rPr>
                <w:rFonts w:hint="cs"/>
                <w:rtl/>
              </w:rPr>
              <w:t xml:space="preserve"> ועידוד עזיבה של שוהים בלתי חוקיים</w:t>
            </w:r>
          </w:p>
        </w:tc>
        <w:tc>
          <w:tcPr>
            <w:tcW w:w="624" w:type="dxa"/>
          </w:tcPr>
          <w:p w14:paraId="26429B4B" w14:textId="77777777" w:rsidR="007F1149" w:rsidRPr="0017382B" w:rsidRDefault="007F1149" w:rsidP="00A40F80">
            <w:pPr>
              <w:pStyle w:val="TableText"/>
              <w:keepLines w:val="0"/>
            </w:pPr>
            <w:r>
              <w:rPr>
                <w:rFonts w:hint="cs"/>
                <w:rtl/>
              </w:rPr>
              <w:t>7.</w:t>
            </w:r>
          </w:p>
        </w:tc>
        <w:tc>
          <w:tcPr>
            <w:tcW w:w="7143" w:type="dxa"/>
            <w:gridSpan w:val="2"/>
          </w:tcPr>
          <w:p w14:paraId="5842F733" w14:textId="6F76E541" w:rsidR="007F1149" w:rsidRPr="0017382B" w:rsidRDefault="007F1149" w:rsidP="00A40F80">
            <w:pPr>
              <w:pStyle w:val="TableBlock"/>
              <w:rPr>
                <w:rtl/>
              </w:rPr>
            </w:pPr>
            <w:r>
              <w:rPr>
                <w:rFonts w:hint="cs"/>
                <w:rtl/>
              </w:rPr>
              <w:t>(א)</w:t>
            </w:r>
            <w:r>
              <w:rPr>
                <w:rtl/>
              </w:rPr>
              <w:tab/>
            </w:r>
            <w:r>
              <w:rPr>
                <w:rFonts w:hint="cs"/>
                <w:rtl/>
              </w:rPr>
              <w:t>אדם ה</w:t>
            </w:r>
            <w:r w:rsidRPr="0017382B">
              <w:rPr>
                <w:rtl/>
              </w:rPr>
              <w:t xml:space="preserve">נכנס למדינה בניגוד לחוק או ששוהה בישראל בניגוד לחוק </w:t>
            </w:r>
            <w:r w:rsidRPr="0017382B">
              <w:rPr>
                <w:rFonts w:hint="cs"/>
                <w:rtl/>
              </w:rPr>
              <w:t>(</w:t>
            </w:r>
            <w:r>
              <w:rPr>
                <w:rFonts w:hint="cs"/>
                <w:rtl/>
              </w:rPr>
              <w:t>ב</w:t>
            </w:r>
            <w:r w:rsidR="00EE7F2E">
              <w:rPr>
                <w:rFonts w:hint="cs"/>
                <w:rtl/>
              </w:rPr>
              <w:t>סעיף</w:t>
            </w:r>
            <w:r>
              <w:rPr>
                <w:rFonts w:hint="cs"/>
                <w:rtl/>
              </w:rPr>
              <w:t xml:space="preserve"> זה </w:t>
            </w:r>
            <w:r>
              <w:rPr>
                <w:rtl/>
              </w:rPr>
              <w:t>–</w:t>
            </w:r>
            <w:r w:rsidRPr="0017382B">
              <w:rPr>
                <w:rtl/>
              </w:rPr>
              <w:t xml:space="preserve"> שוהה בלתי חוקי</w:t>
            </w:r>
            <w:r w:rsidRPr="0017382B">
              <w:rPr>
                <w:rFonts w:hint="cs"/>
                <w:rtl/>
              </w:rPr>
              <w:t>)</w:t>
            </w:r>
            <w:r>
              <w:rPr>
                <w:rFonts w:hint="cs"/>
                <w:rtl/>
              </w:rPr>
              <w:t xml:space="preserve"> יורחק ממדינת ישראל.</w:t>
            </w:r>
            <w:r w:rsidRPr="0017382B">
              <w:rPr>
                <w:rtl/>
              </w:rPr>
              <w:t xml:space="preserve"> </w:t>
            </w:r>
          </w:p>
        </w:tc>
      </w:tr>
      <w:tr w:rsidR="00735256" w:rsidRPr="0017382B" w14:paraId="110D15D0" w14:textId="77777777" w:rsidTr="00A40F80">
        <w:trPr>
          <w:cantSplit/>
        </w:trPr>
        <w:tc>
          <w:tcPr>
            <w:tcW w:w="1871" w:type="dxa"/>
          </w:tcPr>
          <w:p w14:paraId="66862F0C" w14:textId="77777777" w:rsidR="00735256" w:rsidRPr="0017382B" w:rsidRDefault="00735256" w:rsidP="00EE4D11">
            <w:pPr>
              <w:pStyle w:val="TableSideHeading"/>
              <w:keepLines w:val="0"/>
              <w:rPr>
                <w:rtl/>
              </w:rPr>
            </w:pPr>
          </w:p>
        </w:tc>
        <w:tc>
          <w:tcPr>
            <w:tcW w:w="624" w:type="dxa"/>
          </w:tcPr>
          <w:p w14:paraId="44C7DEF6" w14:textId="77777777" w:rsidR="00735256" w:rsidRDefault="00735256" w:rsidP="00A40F80">
            <w:pPr>
              <w:pStyle w:val="TableText"/>
              <w:rPr>
                <w:rtl/>
              </w:rPr>
            </w:pPr>
          </w:p>
        </w:tc>
        <w:tc>
          <w:tcPr>
            <w:tcW w:w="7143" w:type="dxa"/>
            <w:gridSpan w:val="2"/>
          </w:tcPr>
          <w:p w14:paraId="42C16A05" w14:textId="224E90CB" w:rsidR="00735256" w:rsidRDefault="00735256" w:rsidP="00A40F80">
            <w:pPr>
              <w:pStyle w:val="TableBlock"/>
              <w:rPr>
                <w:rtl/>
              </w:rPr>
            </w:pPr>
            <w:r>
              <w:rPr>
                <w:rFonts w:hint="cs"/>
                <w:rtl/>
              </w:rPr>
              <w:t>(ב)</w:t>
            </w:r>
            <w:r>
              <w:rPr>
                <w:rtl/>
              </w:rPr>
              <w:tab/>
            </w:r>
            <w:r w:rsidRPr="0017382B">
              <w:rPr>
                <w:rtl/>
              </w:rPr>
              <w:t>המדינה תעודד עזיבה של שוהים בלתי חוקיים</w:t>
            </w:r>
            <w:r>
              <w:rPr>
                <w:rFonts w:hint="cs"/>
                <w:rtl/>
              </w:rPr>
              <w:t xml:space="preserve"> שמדינת ישראל אינה יכולה </w:t>
            </w:r>
            <w:r w:rsidRPr="0017382B">
              <w:rPr>
                <w:rtl/>
              </w:rPr>
              <w:t>להרחיקם</w:t>
            </w:r>
            <w:r w:rsidRPr="0017382B">
              <w:t>.</w:t>
            </w:r>
          </w:p>
        </w:tc>
      </w:tr>
      <w:tr w:rsidR="00735256" w:rsidRPr="0017382B" w14:paraId="377010CB" w14:textId="77777777" w:rsidTr="00A40F80">
        <w:trPr>
          <w:cantSplit/>
        </w:trPr>
        <w:tc>
          <w:tcPr>
            <w:tcW w:w="1871" w:type="dxa"/>
          </w:tcPr>
          <w:p w14:paraId="58082834" w14:textId="77777777" w:rsidR="00735256" w:rsidRPr="0017382B" w:rsidRDefault="00735256" w:rsidP="00EE4D11">
            <w:pPr>
              <w:pStyle w:val="TableSideHeading"/>
              <w:keepLines w:val="0"/>
              <w:rPr>
                <w:rtl/>
              </w:rPr>
            </w:pPr>
          </w:p>
        </w:tc>
        <w:tc>
          <w:tcPr>
            <w:tcW w:w="624" w:type="dxa"/>
          </w:tcPr>
          <w:p w14:paraId="4BFB30C6" w14:textId="77777777" w:rsidR="00735256" w:rsidRDefault="00735256" w:rsidP="00A40F80">
            <w:pPr>
              <w:pStyle w:val="TableText"/>
              <w:rPr>
                <w:rtl/>
              </w:rPr>
            </w:pPr>
          </w:p>
        </w:tc>
        <w:tc>
          <w:tcPr>
            <w:tcW w:w="7143" w:type="dxa"/>
            <w:gridSpan w:val="2"/>
          </w:tcPr>
          <w:p w14:paraId="7E8B0C9E" w14:textId="3F45F0D7" w:rsidR="00735256" w:rsidRDefault="00735256" w:rsidP="00A40F80">
            <w:pPr>
              <w:pStyle w:val="TableBlock"/>
              <w:numPr>
                <w:ilvl w:val="2"/>
                <w:numId w:val="12"/>
              </w:numPr>
              <w:tabs>
                <w:tab w:val="left" w:pos="624"/>
              </w:tabs>
              <w:rPr>
                <w:rtl/>
              </w:rPr>
            </w:pPr>
            <w:r>
              <w:rPr>
                <w:rFonts w:hint="cs"/>
                <w:rtl/>
              </w:rPr>
              <w:t xml:space="preserve">הוראות לעניין סעיף זה ייקבעו בחוק; </w:t>
            </w:r>
            <w:r w:rsidRPr="004B0F9C">
              <w:rPr>
                <w:rFonts w:hint="eastAsia"/>
                <w:rtl/>
              </w:rPr>
              <w:t>חוק</w:t>
            </w:r>
            <w:r w:rsidRPr="004B0F9C">
              <w:rPr>
                <w:rtl/>
              </w:rPr>
              <w:t xml:space="preserve"> כאמור יוכל </w:t>
            </w:r>
            <w:r w:rsidRPr="00C431E5">
              <w:rPr>
                <w:rFonts w:hint="eastAsia"/>
                <w:rtl/>
              </w:rPr>
              <w:t>לקבוע</w:t>
            </w:r>
            <w:r w:rsidRPr="004B0F9C">
              <w:rPr>
                <w:rtl/>
              </w:rPr>
              <w:t xml:space="preserve"> בין היתר – </w:t>
            </w:r>
          </w:p>
        </w:tc>
      </w:tr>
      <w:tr w:rsidR="00735256" w14:paraId="2FE1FF5B" w14:textId="77777777" w:rsidTr="00A40F80">
        <w:trPr>
          <w:cantSplit/>
        </w:trPr>
        <w:tc>
          <w:tcPr>
            <w:tcW w:w="1871" w:type="dxa"/>
          </w:tcPr>
          <w:p w14:paraId="4346EDA0" w14:textId="77777777" w:rsidR="00735256" w:rsidRDefault="00735256">
            <w:pPr>
              <w:pStyle w:val="TableSideHeading"/>
            </w:pPr>
          </w:p>
        </w:tc>
        <w:tc>
          <w:tcPr>
            <w:tcW w:w="624" w:type="dxa"/>
          </w:tcPr>
          <w:p w14:paraId="1316EB18" w14:textId="77777777" w:rsidR="00735256" w:rsidRDefault="00735256" w:rsidP="00A40F80">
            <w:pPr>
              <w:pStyle w:val="TableText"/>
            </w:pPr>
          </w:p>
        </w:tc>
        <w:tc>
          <w:tcPr>
            <w:tcW w:w="624" w:type="dxa"/>
          </w:tcPr>
          <w:p w14:paraId="7145B4A2" w14:textId="77777777" w:rsidR="00735256" w:rsidRDefault="00735256">
            <w:pPr>
              <w:pStyle w:val="TableText"/>
            </w:pPr>
          </w:p>
        </w:tc>
        <w:tc>
          <w:tcPr>
            <w:tcW w:w="6519" w:type="dxa"/>
          </w:tcPr>
          <w:p w14:paraId="1A2F9E8B" w14:textId="7654CA6E" w:rsidR="00735256" w:rsidRPr="00A40F80" w:rsidRDefault="00A40F80" w:rsidP="00A40F80">
            <w:pPr>
              <w:pStyle w:val="TableBlock"/>
            </w:pPr>
            <w:r w:rsidRPr="00A40F80">
              <w:rPr>
                <w:rtl/>
              </w:rPr>
              <w:t>(1)</w:t>
            </w:r>
            <w:r w:rsidRPr="00A40F80">
              <w:rPr>
                <w:rtl/>
              </w:rPr>
              <w:tab/>
            </w:r>
            <w:r w:rsidR="00735256" w:rsidRPr="00A40F80">
              <w:rPr>
                <w:rFonts w:hint="eastAsia"/>
                <w:rtl/>
              </w:rPr>
              <w:t>הו</w:t>
            </w:r>
            <w:r w:rsidR="00735256" w:rsidRPr="00A40F80">
              <w:rPr>
                <w:rtl/>
              </w:rPr>
              <w:t xml:space="preserve">ראות לפיהן שוהה בלתי חוקי יוחזק במשמורת לכל </w:t>
            </w:r>
            <w:r w:rsidR="00735256" w:rsidRPr="00A40F80">
              <w:rPr>
                <w:rFonts w:hint="eastAsia"/>
                <w:rtl/>
              </w:rPr>
              <w:t>תקופת</w:t>
            </w:r>
            <w:r w:rsidR="00735256" w:rsidRPr="00A40F80">
              <w:rPr>
                <w:rtl/>
              </w:rPr>
              <w:t xml:space="preserve"> שהותו בישראל;</w:t>
            </w:r>
          </w:p>
        </w:tc>
      </w:tr>
      <w:tr w:rsidR="00735256" w14:paraId="595FAD8D" w14:textId="77777777" w:rsidTr="00A40F80">
        <w:trPr>
          <w:cantSplit/>
        </w:trPr>
        <w:tc>
          <w:tcPr>
            <w:tcW w:w="1871" w:type="dxa"/>
          </w:tcPr>
          <w:p w14:paraId="3132C2D2" w14:textId="77777777" w:rsidR="00735256" w:rsidRDefault="00735256">
            <w:pPr>
              <w:pStyle w:val="TableSideHeading"/>
            </w:pPr>
          </w:p>
        </w:tc>
        <w:tc>
          <w:tcPr>
            <w:tcW w:w="624" w:type="dxa"/>
          </w:tcPr>
          <w:p w14:paraId="0368B966" w14:textId="77777777" w:rsidR="00735256" w:rsidRDefault="00735256" w:rsidP="00A40F80">
            <w:pPr>
              <w:pStyle w:val="TableText"/>
            </w:pPr>
          </w:p>
        </w:tc>
        <w:tc>
          <w:tcPr>
            <w:tcW w:w="624" w:type="dxa"/>
          </w:tcPr>
          <w:p w14:paraId="639D3FFD" w14:textId="77777777" w:rsidR="00735256" w:rsidRDefault="00735256">
            <w:pPr>
              <w:pStyle w:val="TableText"/>
            </w:pPr>
          </w:p>
        </w:tc>
        <w:tc>
          <w:tcPr>
            <w:tcW w:w="6519" w:type="dxa"/>
          </w:tcPr>
          <w:p w14:paraId="22ACC71F" w14:textId="3CE510A1" w:rsidR="00735256" w:rsidRPr="00A40F80" w:rsidRDefault="00A40F80" w:rsidP="00A40F80">
            <w:pPr>
              <w:pStyle w:val="TableBlock"/>
            </w:pPr>
            <w:r w:rsidRPr="00A40F80">
              <w:rPr>
                <w:rFonts w:hint="cs"/>
                <w:rtl/>
              </w:rPr>
              <w:t>(2</w:t>
            </w:r>
            <w:r>
              <w:rPr>
                <w:rtl/>
              </w:rPr>
              <w:t>)</w:t>
            </w:r>
            <w:r>
              <w:rPr>
                <w:rtl/>
              </w:rPr>
              <w:tab/>
            </w:r>
            <w:r w:rsidR="00735256" w:rsidRPr="00A40F80">
              <w:rPr>
                <w:rtl/>
              </w:rPr>
              <w:t>הוראות לפיהן תנועתו של שוהה בלתי חוקי תוגבל לאזורים גאוגרפיים מסוימים או לזמנים מסוימים;</w:t>
            </w:r>
          </w:p>
        </w:tc>
      </w:tr>
      <w:tr w:rsidR="00735256" w14:paraId="6062223D" w14:textId="77777777" w:rsidTr="00A40F80">
        <w:trPr>
          <w:cantSplit/>
        </w:trPr>
        <w:tc>
          <w:tcPr>
            <w:tcW w:w="1871" w:type="dxa"/>
          </w:tcPr>
          <w:p w14:paraId="2AEF93B9" w14:textId="77777777" w:rsidR="00735256" w:rsidRDefault="00735256">
            <w:pPr>
              <w:pStyle w:val="TableSideHeading"/>
            </w:pPr>
          </w:p>
        </w:tc>
        <w:tc>
          <w:tcPr>
            <w:tcW w:w="624" w:type="dxa"/>
          </w:tcPr>
          <w:p w14:paraId="4402E9F0" w14:textId="77777777" w:rsidR="00735256" w:rsidRDefault="00735256" w:rsidP="00A40F80">
            <w:pPr>
              <w:pStyle w:val="TableText"/>
            </w:pPr>
          </w:p>
        </w:tc>
        <w:tc>
          <w:tcPr>
            <w:tcW w:w="624" w:type="dxa"/>
          </w:tcPr>
          <w:p w14:paraId="3ED56BD6" w14:textId="77777777" w:rsidR="00735256" w:rsidRDefault="00735256">
            <w:pPr>
              <w:pStyle w:val="TableText"/>
            </w:pPr>
          </w:p>
        </w:tc>
        <w:tc>
          <w:tcPr>
            <w:tcW w:w="6519" w:type="dxa"/>
          </w:tcPr>
          <w:p w14:paraId="1C96CDCE" w14:textId="34ED8C04" w:rsidR="00735256" w:rsidRPr="00A40F80" w:rsidRDefault="00A40F80" w:rsidP="00A40F80">
            <w:pPr>
              <w:pStyle w:val="TableBlock"/>
              <w:rPr>
                <w:rtl/>
              </w:rPr>
            </w:pPr>
            <w:r>
              <w:rPr>
                <w:rFonts w:hint="cs"/>
                <w:rtl/>
              </w:rPr>
              <w:t>(3)</w:t>
            </w:r>
            <w:r>
              <w:rPr>
                <w:rtl/>
              </w:rPr>
              <w:tab/>
            </w:r>
            <w:r w:rsidR="00735256" w:rsidRPr="00A40F80">
              <w:rPr>
                <w:rtl/>
              </w:rPr>
              <w:t>הוראות האוסרות או מגבילות את יכולתו של שוהה בלתי חוקי לעבוד בתחומי מדינת ישראל באזורים גאוגרפיים או תחומי עיסוק מסוימים ובתנאים ייחודיים</w:t>
            </w:r>
            <w:r w:rsidR="00735256" w:rsidRPr="00A40F80">
              <w:rPr>
                <w:rFonts w:hint="cs"/>
                <w:rtl/>
              </w:rPr>
              <w:t>;</w:t>
            </w:r>
          </w:p>
        </w:tc>
      </w:tr>
      <w:tr w:rsidR="00735256" w14:paraId="230B2771" w14:textId="77777777" w:rsidTr="00A40F80">
        <w:trPr>
          <w:cantSplit/>
        </w:trPr>
        <w:tc>
          <w:tcPr>
            <w:tcW w:w="1871" w:type="dxa"/>
          </w:tcPr>
          <w:p w14:paraId="2FC86629" w14:textId="77777777" w:rsidR="00735256" w:rsidRDefault="00735256">
            <w:pPr>
              <w:pStyle w:val="TableSideHeading"/>
            </w:pPr>
          </w:p>
        </w:tc>
        <w:tc>
          <w:tcPr>
            <w:tcW w:w="624" w:type="dxa"/>
          </w:tcPr>
          <w:p w14:paraId="3604113B" w14:textId="77777777" w:rsidR="00735256" w:rsidRDefault="00735256" w:rsidP="00A40F80">
            <w:pPr>
              <w:pStyle w:val="TableText"/>
            </w:pPr>
          </w:p>
        </w:tc>
        <w:tc>
          <w:tcPr>
            <w:tcW w:w="624" w:type="dxa"/>
          </w:tcPr>
          <w:p w14:paraId="5515D235" w14:textId="77777777" w:rsidR="00735256" w:rsidRDefault="00735256">
            <w:pPr>
              <w:pStyle w:val="TableText"/>
            </w:pPr>
          </w:p>
        </w:tc>
        <w:tc>
          <w:tcPr>
            <w:tcW w:w="6519" w:type="dxa"/>
          </w:tcPr>
          <w:p w14:paraId="412E29EC" w14:textId="1C6AB9EB" w:rsidR="00735256" w:rsidRPr="00A40F80" w:rsidRDefault="00A40F80" w:rsidP="00A40F80">
            <w:pPr>
              <w:pStyle w:val="TableBlock"/>
              <w:rPr>
                <w:rtl/>
              </w:rPr>
            </w:pPr>
            <w:r>
              <w:rPr>
                <w:rFonts w:hint="cs"/>
                <w:rtl/>
              </w:rPr>
              <w:t>(4)</w:t>
            </w:r>
            <w:r>
              <w:rPr>
                <w:rtl/>
              </w:rPr>
              <w:tab/>
            </w:r>
            <w:r w:rsidR="00735256" w:rsidRPr="00A40F80">
              <w:rPr>
                <w:rtl/>
              </w:rPr>
              <w:t xml:space="preserve">הוראות הקובעות כי כספים, מכל מקור שהוא, </w:t>
            </w:r>
            <w:r w:rsidR="00735256" w:rsidRPr="00A40F80">
              <w:rPr>
                <w:rFonts w:hint="cs"/>
                <w:rtl/>
              </w:rPr>
              <w:t>שמגיעים</w:t>
            </w:r>
            <w:r w:rsidR="00735256" w:rsidRPr="00A40F80">
              <w:rPr>
                <w:rtl/>
              </w:rPr>
              <w:t xml:space="preserve"> </w:t>
            </w:r>
            <w:r w:rsidR="00735256" w:rsidRPr="00A40F80">
              <w:rPr>
                <w:rFonts w:hint="cs"/>
                <w:rtl/>
              </w:rPr>
              <w:t>ל</w:t>
            </w:r>
            <w:r w:rsidR="00735256" w:rsidRPr="00A40F80">
              <w:rPr>
                <w:rtl/>
              </w:rPr>
              <w:t xml:space="preserve">שוהה בלתי חוקי בתקופת שהותו בישראל, יוחזקו, כולם או מקצתם, בנאמנות על ידי מדינת ישראל </w:t>
            </w:r>
            <w:r w:rsidR="00735256" w:rsidRPr="00A40F80">
              <w:rPr>
                <w:rFonts w:hint="cs"/>
                <w:rtl/>
              </w:rPr>
              <w:t xml:space="preserve">ויוחזרו </w:t>
            </w:r>
            <w:r w:rsidR="00735256" w:rsidRPr="00A40F80">
              <w:rPr>
                <w:rtl/>
              </w:rPr>
              <w:t>לשוהה הבלתי חוקי, רק לאחר שיעזוב את מדינת ישראל</w:t>
            </w:r>
            <w:r w:rsidR="00735256" w:rsidRPr="00A40F80">
              <w:rPr>
                <w:rFonts w:hint="cs"/>
                <w:rtl/>
              </w:rPr>
              <w:t>;</w:t>
            </w:r>
          </w:p>
        </w:tc>
      </w:tr>
      <w:tr w:rsidR="00735256" w14:paraId="01400FF3" w14:textId="77777777" w:rsidTr="00A40F80">
        <w:trPr>
          <w:cantSplit/>
        </w:trPr>
        <w:tc>
          <w:tcPr>
            <w:tcW w:w="1871" w:type="dxa"/>
          </w:tcPr>
          <w:p w14:paraId="15041651" w14:textId="77777777" w:rsidR="00735256" w:rsidRDefault="00735256">
            <w:pPr>
              <w:pStyle w:val="TableSideHeading"/>
            </w:pPr>
          </w:p>
        </w:tc>
        <w:tc>
          <w:tcPr>
            <w:tcW w:w="624" w:type="dxa"/>
          </w:tcPr>
          <w:p w14:paraId="58D8D068" w14:textId="77777777" w:rsidR="00735256" w:rsidRDefault="00735256" w:rsidP="00A40F80">
            <w:pPr>
              <w:pStyle w:val="TableText"/>
            </w:pPr>
          </w:p>
        </w:tc>
        <w:tc>
          <w:tcPr>
            <w:tcW w:w="624" w:type="dxa"/>
          </w:tcPr>
          <w:p w14:paraId="10BFFB5A" w14:textId="77777777" w:rsidR="00735256" w:rsidRDefault="00735256">
            <w:pPr>
              <w:pStyle w:val="TableText"/>
            </w:pPr>
          </w:p>
        </w:tc>
        <w:tc>
          <w:tcPr>
            <w:tcW w:w="6519" w:type="dxa"/>
          </w:tcPr>
          <w:p w14:paraId="301A6FCE" w14:textId="142EA28B" w:rsidR="00735256" w:rsidRPr="00A40F80" w:rsidRDefault="00A40F80" w:rsidP="00A40F80">
            <w:pPr>
              <w:pStyle w:val="TableBlock"/>
            </w:pPr>
            <w:r>
              <w:rPr>
                <w:rFonts w:hint="cs"/>
                <w:rtl/>
              </w:rPr>
              <w:t>(5)</w:t>
            </w:r>
            <w:r>
              <w:rPr>
                <w:rtl/>
              </w:rPr>
              <w:tab/>
            </w:r>
            <w:r w:rsidR="00735256" w:rsidRPr="00A40F80">
              <w:rPr>
                <w:rtl/>
              </w:rPr>
              <w:t>הוראות לפיה</w:t>
            </w:r>
            <w:r w:rsidR="00735256" w:rsidRPr="00A40F80">
              <w:rPr>
                <w:rFonts w:hint="eastAsia"/>
                <w:rtl/>
              </w:rPr>
              <w:t>ן</w:t>
            </w:r>
            <w:r w:rsidR="00735256" w:rsidRPr="00A40F80">
              <w:rPr>
                <w:rtl/>
              </w:rPr>
              <w:t xml:space="preserve"> שוהה בלתי חוקי לא יזכה לאותם שירותים, או לשימוש באותם שירותים להם זוכים בעלי מעמד בישראל.</w:t>
            </w:r>
          </w:p>
        </w:tc>
      </w:tr>
      <w:tr w:rsidR="007F1149" w:rsidRPr="0017382B" w14:paraId="25A6C860" w14:textId="77777777" w:rsidTr="00A40F80">
        <w:trPr>
          <w:cantSplit/>
        </w:trPr>
        <w:tc>
          <w:tcPr>
            <w:tcW w:w="1871" w:type="dxa"/>
          </w:tcPr>
          <w:p w14:paraId="0323F1D5" w14:textId="77777777" w:rsidR="007F1149" w:rsidRPr="0017382B" w:rsidRDefault="007F1149" w:rsidP="00EE4D11">
            <w:pPr>
              <w:pStyle w:val="TableSideHeading"/>
              <w:keepLines w:val="0"/>
            </w:pPr>
            <w:r w:rsidRPr="0017382B">
              <w:rPr>
                <w:rtl/>
              </w:rPr>
              <w:t>שלילת תושבות או אזרחות</w:t>
            </w:r>
          </w:p>
        </w:tc>
        <w:tc>
          <w:tcPr>
            <w:tcW w:w="624" w:type="dxa"/>
          </w:tcPr>
          <w:p w14:paraId="15012663" w14:textId="378C6579" w:rsidR="007F1149" w:rsidRPr="0017382B" w:rsidRDefault="004B2C6F" w:rsidP="00A40F80">
            <w:pPr>
              <w:pStyle w:val="TableText"/>
              <w:keepLines w:val="0"/>
            </w:pPr>
            <w:r>
              <w:rPr>
                <w:rFonts w:hint="cs"/>
                <w:rtl/>
              </w:rPr>
              <w:t>8.</w:t>
            </w:r>
          </w:p>
        </w:tc>
        <w:tc>
          <w:tcPr>
            <w:tcW w:w="7143" w:type="dxa"/>
            <w:gridSpan w:val="2"/>
          </w:tcPr>
          <w:p w14:paraId="3E718FCF" w14:textId="0CFA7717" w:rsidR="007F1149" w:rsidRPr="0017382B" w:rsidRDefault="007F1149" w:rsidP="00A40F80">
            <w:pPr>
              <w:pStyle w:val="TableBlock"/>
            </w:pPr>
            <w:r>
              <w:rPr>
                <w:rFonts w:hint="cs"/>
                <w:rtl/>
              </w:rPr>
              <w:t xml:space="preserve">חוק יכול </w:t>
            </w:r>
            <w:r w:rsidR="00BF0F0E">
              <w:rPr>
                <w:rFonts w:hint="cs"/>
                <w:rtl/>
              </w:rPr>
              <w:t>לשלול</w:t>
            </w:r>
            <w:r w:rsidR="00EA409C">
              <w:rPr>
                <w:rFonts w:hint="cs"/>
                <w:rtl/>
              </w:rPr>
              <w:t xml:space="preserve"> </w:t>
            </w:r>
            <w:r>
              <w:rPr>
                <w:rFonts w:hint="cs"/>
                <w:rtl/>
              </w:rPr>
              <w:t>אזרחות, תושבות או מעמד בישראל, בתנאים שייקבעו בו.</w:t>
            </w:r>
          </w:p>
        </w:tc>
      </w:tr>
      <w:tr w:rsidR="007F1149" w:rsidRPr="0017382B" w14:paraId="5B3B4843" w14:textId="77777777" w:rsidTr="00A40F80">
        <w:trPr>
          <w:cantSplit/>
        </w:trPr>
        <w:tc>
          <w:tcPr>
            <w:tcW w:w="1871" w:type="dxa"/>
          </w:tcPr>
          <w:p w14:paraId="0A61CBFE" w14:textId="77777777" w:rsidR="007F1149" w:rsidRPr="0017382B" w:rsidRDefault="007F1149" w:rsidP="00EE4D11">
            <w:pPr>
              <w:pStyle w:val="TableSideHeading"/>
              <w:keepLines w:val="0"/>
            </w:pPr>
            <w:r w:rsidRPr="0017382B">
              <w:rPr>
                <w:rFonts w:hint="cs"/>
                <w:rtl/>
              </w:rPr>
              <w:t>יציבות</w:t>
            </w:r>
          </w:p>
        </w:tc>
        <w:tc>
          <w:tcPr>
            <w:tcW w:w="624" w:type="dxa"/>
          </w:tcPr>
          <w:p w14:paraId="64DB7CD4" w14:textId="3436C9B7" w:rsidR="007F1149" w:rsidRPr="0017382B" w:rsidRDefault="004B2C6F" w:rsidP="00A40F80">
            <w:pPr>
              <w:pStyle w:val="TableText"/>
              <w:keepLines w:val="0"/>
            </w:pPr>
            <w:r>
              <w:rPr>
                <w:rFonts w:hint="cs"/>
                <w:rtl/>
              </w:rPr>
              <w:t xml:space="preserve">9. </w:t>
            </w:r>
          </w:p>
        </w:tc>
        <w:tc>
          <w:tcPr>
            <w:tcW w:w="7143" w:type="dxa"/>
            <w:gridSpan w:val="2"/>
          </w:tcPr>
          <w:p w14:paraId="5350BBA3" w14:textId="20887C36" w:rsidR="007F1149" w:rsidRPr="0017382B" w:rsidRDefault="007F1149" w:rsidP="00A40F80">
            <w:pPr>
              <w:pStyle w:val="TableBlock"/>
            </w:pPr>
            <w:r w:rsidRPr="0017382B">
              <w:rPr>
                <w:rtl/>
              </w:rPr>
              <w:t>אין בכוחן של תקנות</w:t>
            </w:r>
            <w:r w:rsidR="008F24C7">
              <w:rPr>
                <w:rFonts w:hint="cs"/>
                <w:rtl/>
              </w:rPr>
              <w:t xml:space="preserve"> </w:t>
            </w:r>
            <w:r w:rsidRPr="0017382B">
              <w:rPr>
                <w:rtl/>
              </w:rPr>
              <w:t>שעת-חירום לשנות חוק-יסוד זה, להפקיע זמנית את תוקפו או לקבוע בו תנאים</w:t>
            </w:r>
            <w:r w:rsidRPr="0017382B">
              <w:rPr>
                <w:rFonts w:hint="cs"/>
                <w:rtl/>
              </w:rPr>
              <w:t>.</w:t>
            </w:r>
          </w:p>
        </w:tc>
      </w:tr>
      <w:tr w:rsidR="007F1149" w:rsidRPr="0017382B" w14:paraId="51D780DE" w14:textId="77777777" w:rsidTr="00A40F80">
        <w:trPr>
          <w:cantSplit/>
        </w:trPr>
        <w:tc>
          <w:tcPr>
            <w:tcW w:w="1871" w:type="dxa"/>
          </w:tcPr>
          <w:p w14:paraId="0C500956" w14:textId="77777777" w:rsidR="007F1149" w:rsidRPr="0017382B" w:rsidRDefault="007F1149" w:rsidP="00EE4D11">
            <w:pPr>
              <w:pStyle w:val="TableSideHeading"/>
              <w:keepLines w:val="0"/>
            </w:pPr>
            <w:r w:rsidRPr="0017382B">
              <w:rPr>
                <w:rFonts w:hint="cs"/>
                <w:rtl/>
              </w:rPr>
              <w:t>נוקשות</w:t>
            </w:r>
          </w:p>
        </w:tc>
        <w:tc>
          <w:tcPr>
            <w:tcW w:w="624" w:type="dxa"/>
          </w:tcPr>
          <w:p w14:paraId="7582D74B" w14:textId="5B92D9F1" w:rsidR="007F1149" w:rsidRPr="0017382B" w:rsidRDefault="004B2C6F" w:rsidP="00A40F80">
            <w:pPr>
              <w:pStyle w:val="TableText"/>
              <w:keepLines w:val="0"/>
            </w:pPr>
            <w:r>
              <w:rPr>
                <w:rFonts w:hint="cs"/>
                <w:rtl/>
              </w:rPr>
              <w:t>10.</w:t>
            </w:r>
          </w:p>
        </w:tc>
        <w:tc>
          <w:tcPr>
            <w:tcW w:w="7143" w:type="dxa"/>
            <w:gridSpan w:val="2"/>
          </w:tcPr>
          <w:p w14:paraId="378A5B26" w14:textId="77777777" w:rsidR="007F1149" w:rsidRPr="0017382B" w:rsidRDefault="007F1149" w:rsidP="00A40F80">
            <w:pPr>
              <w:pStyle w:val="TableBlock"/>
            </w:pPr>
            <w:r w:rsidRPr="0017382B">
              <w:rPr>
                <w:rtl/>
              </w:rPr>
              <w:t>אין לשנות חוק-יסוד זה אלא בחוק-יסוד ש</w:t>
            </w:r>
            <w:r>
              <w:rPr>
                <w:rFonts w:hint="cs"/>
                <w:rtl/>
              </w:rPr>
              <w:t>ה</w:t>
            </w:r>
            <w:r w:rsidRPr="0017382B">
              <w:rPr>
                <w:rtl/>
              </w:rPr>
              <w:t>תקבל ברוב של חברי הכנסת</w:t>
            </w:r>
            <w:r w:rsidRPr="0017382B">
              <w:rPr>
                <w:rFonts w:hint="cs"/>
                <w:rtl/>
              </w:rPr>
              <w:t>.</w:t>
            </w:r>
          </w:p>
        </w:tc>
      </w:tr>
      <w:tr w:rsidR="007F1149" w14:paraId="52A673BD" w14:textId="77777777" w:rsidTr="00A40F80">
        <w:trPr>
          <w:cantSplit/>
        </w:trPr>
        <w:tc>
          <w:tcPr>
            <w:tcW w:w="1871" w:type="dxa"/>
          </w:tcPr>
          <w:p w14:paraId="5377AA1A" w14:textId="77777777" w:rsidR="007F1149" w:rsidRPr="0017382B" w:rsidRDefault="007F1149" w:rsidP="00EE4D11">
            <w:pPr>
              <w:pStyle w:val="TableSideHeading"/>
              <w:keepLines w:val="0"/>
            </w:pPr>
            <w:r w:rsidRPr="0017382B">
              <w:rPr>
                <w:rFonts w:hint="cs"/>
                <w:rtl/>
              </w:rPr>
              <w:t>הוראות מעבר ושמירת דינים</w:t>
            </w:r>
          </w:p>
        </w:tc>
        <w:tc>
          <w:tcPr>
            <w:tcW w:w="624" w:type="dxa"/>
          </w:tcPr>
          <w:p w14:paraId="30C57F0A" w14:textId="7B470502" w:rsidR="007F1149" w:rsidRPr="0017382B" w:rsidRDefault="004B2C6F" w:rsidP="00A40F80">
            <w:pPr>
              <w:pStyle w:val="TableText"/>
              <w:keepLines w:val="0"/>
            </w:pPr>
            <w:r>
              <w:rPr>
                <w:rFonts w:hint="cs"/>
                <w:rtl/>
              </w:rPr>
              <w:t>11.</w:t>
            </w:r>
          </w:p>
        </w:tc>
        <w:tc>
          <w:tcPr>
            <w:tcW w:w="7143" w:type="dxa"/>
            <w:gridSpan w:val="2"/>
          </w:tcPr>
          <w:p w14:paraId="7BC86A64" w14:textId="668E2C77" w:rsidR="007F1149" w:rsidRPr="0017382B" w:rsidRDefault="007F1149" w:rsidP="00A40F80">
            <w:pPr>
              <w:pStyle w:val="TableBlock"/>
              <w:numPr>
                <w:ilvl w:val="0"/>
                <w:numId w:val="19"/>
              </w:numPr>
              <w:tabs>
                <w:tab w:val="left" w:pos="624"/>
              </w:tabs>
            </w:pPr>
            <w:r w:rsidRPr="007F1149">
              <w:rPr>
                <w:rtl/>
              </w:rPr>
              <w:t>כל חיקוק או הוראת מנהל העוסקים בנושא</w:t>
            </w:r>
            <w:r w:rsidRPr="007F1149">
              <w:rPr>
                <w:rFonts w:hint="cs"/>
                <w:rtl/>
              </w:rPr>
              <w:t>ים המוסדרים</w:t>
            </w:r>
            <w:r w:rsidRPr="007F1149">
              <w:rPr>
                <w:rtl/>
              </w:rPr>
              <w:t xml:space="preserve"> </w:t>
            </w:r>
            <w:r w:rsidRPr="007F1149">
              <w:rPr>
                <w:rFonts w:hint="cs"/>
                <w:rtl/>
              </w:rPr>
              <w:t>ב</w:t>
            </w:r>
            <w:r w:rsidRPr="007F1149">
              <w:rPr>
                <w:rtl/>
              </w:rPr>
              <w:t>חוק</w:t>
            </w:r>
            <w:r w:rsidRPr="007F1149">
              <w:rPr>
                <w:rFonts w:hint="cs"/>
                <w:rtl/>
              </w:rPr>
              <w:t>-יסוד</w:t>
            </w:r>
            <w:r w:rsidRPr="007F1149">
              <w:rPr>
                <w:rtl/>
              </w:rPr>
              <w:t xml:space="preserve"> זה ונמצאים בתוקף ביום קבלת</w:t>
            </w:r>
            <w:r w:rsidRPr="007F1149">
              <w:rPr>
                <w:rFonts w:hint="cs"/>
                <w:rtl/>
              </w:rPr>
              <w:t>ו</w:t>
            </w:r>
            <w:r w:rsidRPr="007F1149">
              <w:rPr>
                <w:rtl/>
              </w:rPr>
              <w:t>, יראו אות</w:t>
            </w:r>
            <w:r w:rsidRPr="007F1149">
              <w:rPr>
                <w:rFonts w:hint="cs"/>
                <w:rtl/>
              </w:rPr>
              <w:t>ם</w:t>
            </w:r>
            <w:r w:rsidRPr="007F1149">
              <w:rPr>
                <w:rtl/>
              </w:rPr>
              <w:t xml:space="preserve"> כאילו התקבלו בהתאם להוראות חוק</w:t>
            </w:r>
            <w:r w:rsidRPr="007F1149">
              <w:rPr>
                <w:rFonts w:hint="cs"/>
                <w:rtl/>
              </w:rPr>
              <w:t>-יסוד</w:t>
            </w:r>
            <w:r w:rsidRPr="007F1149">
              <w:rPr>
                <w:rtl/>
              </w:rPr>
              <w:t xml:space="preserve"> זה</w:t>
            </w:r>
            <w:r w:rsidRPr="007F1149">
              <w:rPr>
                <w:rFonts w:hint="cs"/>
                <w:rtl/>
              </w:rPr>
              <w:t>.</w:t>
            </w:r>
          </w:p>
        </w:tc>
      </w:tr>
      <w:tr w:rsidR="00A40F80" w14:paraId="279636F8" w14:textId="77777777" w:rsidTr="00A40F80">
        <w:trPr>
          <w:cantSplit/>
        </w:trPr>
        <w:tc>
          <w:tcPr>
            <w:tcW w:w="1871" w:type="dxa"/>
          </w:tcPr>
          <w:p w14:paraId="4477FD38" w14:textId="77777777" w:rsidR="00A40F80" w:rsidRPr="0017382B" w:rsidRDefault="00A40F80" w:rsidP="00EE4D11">
            <w:pPr>
              <w:pStyle w:val="TableSideHeading"/>
              <w:keepLines w:val="0"/>
              <w:rPr>
                <w:rFonts w:hint="cs"/>
                <w:rtl/>
              </w:rPr>
            </w:pPr>
          </w:p>
        </w:tc>
        <w:tc>
          <w:tcPr>
            <w:tcW w:w="624" w:type="dxa"/>
          </w:tcPr>
          <w:p w14:paraId="4A3A2A7B" w14:textId="77777777" w:rsidR="00A40F80" w:rsidRDefault="00A40F80" w:rsidP="00A40F80">
            <w:pPr>
              <w:pStyle w:val="TableText"/>
              <w:rPr>
                <w:rFonts w:hint="cs"/>
                <w:rtl/>
              </w:rPr>
            </w:pPr>
          </w:p>
        </w:tc>
        <w:tc>
          <w:tcPr>
            <w:tcW w:w="7143" w:type="dxa"/>
            <w:gridSpan w:val="2"/>
          </w:tcPr>
          <w:p w14:paraId="347C820F" w14:textId="305B80D5" w:rsidR="00A40F80" w:rsidRPr="00A40F80" w:rsidRDefault="00A40F80" w:rsidP="00A40F80">
            <w:pPr>
              <w:pStyle w:val="TableBlock"/>
              <w:rPr>
                <w:rtl/>
              </w:rPr>
            </w:pPr>
            <w:r w:rsidRPr="00A40F80">
              <w:rPr>
                <w:rFonts w:hint="cs"/>
                <w:rtl/>
              </w:rPr>
              <w:t>(ב)</w:t>
            </w:r>
            <w:r w:rsidRPr="00A40F80">
              <w:rPr>
                <w:rtl/>
              </w:rPr>
              <w:tab/>
              <w:t>עד לקביעת מכסה</w:t>
            </w:r>
            <w:r w:rsidRPr="00A40F80">
              <w:rPr>
                <w:rFonts w:hint="cs"/>
                <w:rtl/>
              </w:rPr>
              <w:t xml:space="preserve"> שנתית </w:t>
            </w:r>
            <w:proofErr w:type="spellStart"/>
            <w:r w:rsidRPr="00A40F80">
              <w:rPr>
                <w:rFonts w:hint="cs"/>
                <w:rtl/>
              </w:rPr>
              <w:t>מירבית</w:t>
            </w:r>
            <w:proofErr w:type="spellEnd"/>
            <w:r w:rsidRPr="00A40F80">
              <w:rPr>
                <w:rFonts w:hint="cs"/>
                <w:rtl/>
              </w:rPr>
              <w:t xml:space="preserve"> </w:t>
            </w:r>
            <w:r w:rsidRPr="00A40F80">
              <w:rPr>
                <w:rtl/>
              </w:rPr>
              <w:t>כאמור בסעיף 4, לא יינתן מעמד אלא</w:t>
            </w:r>
            <w:r w:rsidRPr="00A40F80">
              <w:rPr>
                <w:rFonts w:hint="cs"/>
                <w:rtl/>
              </w:rPr>
              <w:t xml:space="preserve"> בהתאם להוראות שייקבעו בחוק.</w:t>
            </w:r>
          </w:p>
        </w:tc>
      </w:tr>
    </w:tbl>
    <w:p w14:paraId="7F6961CA" w14:textId="77777777" w:rsidR="002D1EE3" w:rsidRDefault="002D1EE3" w:rsidP="002D1EE3">
      <w:pPr>
        <w:pStyle w:val="HeadDivreiHesber"/>
        <w:rPr>
          <w:rtl/>
        </w:rPr>
      </w:pPr>
      <w:r w:rsidRPr="0027450A">
        <w:rPr>
          <w:rFonts w:hint="cs"/>
          <w:rtl/>
        </w:rPr>
        <w:t>דברי הסבר</w:t>
      </w:r>
    </w:p>
    <w:p w14:paraId="12BCB78F" w14:textId="742935BE" w:rsidR="009114A2" w:rsidRPr="004134F6" w:rsidRDefault="009114A2" w:rsidP="00346E4A">
      <w:pPr>
        <w:pStyle w:val="Hesber"/>
        <w:rPr>
          <w:rtl/>
        </w:rPr>
      </w:pPr>
      <w:r w:rsidRPr="004134F6">
        <w:rPr>
          <w:rFonts w:hint="eastAsia"/>
          <w:rtl/>
        </w:rPr>
        <w:t>מדינת</w:t>
      </w:r>
      <w:r w:rsidRPr="004134F6">
        <w:rPr>
          <w:rtl/>
        </w:rPr>
        <w:t xml:space="preserve"> </w:t>
      </w:r>
      <w:r w:rsidRPr="004134F6">
        <w:rPr>
          <w:rFonts w:hint="eastAsia"/>
          <w:rtl/>
        </w:rPr>
        <w:t>ישראל</w:t>
      </w:r>
      <w:r w:rsidRPr="004134F6">
        <w:rPr>
          <w:rtl/>
        </w:rPr>
        <w:t xml:space="preserve"> </w:t>
      </w:r>
      <w:r w:rsidRPr="004134F6">
        <w:rPr>
          <w:rFonts w:hint="eastAsia"/>
          <w:rtl/>
        </w:rPr>
        <w:t>מתמודדת</w:t>
      </w:r>
      <w:r w:rsidRPr="004134F6">
        <w:rPr>
          <w:rtl/>
        </w:rPr>
        <w:t xml:space="preserve"> </w:t>
      </w:r>
      <w:r w:rsidRPr="004134F6">
        <w:rPr>
          <w:rFonts w:hint="eastAsia"/>
          <w:rtl/>
        </w:rPr>
        <w:t>בשני</w:t>
      </w:r>
      <w:r w:rsidRPr="004134F6">
        <w:rPr>
          <w:rtl/>
        </w:rPr>
        <w:t xml:space="preserve"> </w:t>
      </w:r>
      <w:r w:rsidRPr="004134F6">
        <w:rPr>
          <w:rFonts w:hint="eastAsia"/>
          <w:rtl/>
        </w:rPr>
        <w:t>העשורים</w:t>
      </w:r>
      <w:r w:rsidRPr="004134F6">
        <w:rPr>
          <w:rtl/>
        </w:rPr>
        <w:t xml:space="preserve"> </w:t>
      </w:r>
      <w:r w:rsidRPr="004134F6">
        <w:rPr>
          <w:rFonts w:hint="eastAsia"/>
          <w:rtl/>
        </w:rPr>
        <w:t>האחרונים</w:t>
      </w:r>
      <w:r w:rsidRPr="004134F6">
        <w:rPr>
          <w:rtl/>
        </w:rPr>
        <w:t xml:space="preserve"> </w:t>
      </w:r>
      <w:r w:rsidRPr="004134F6">
        <w:rPr>
          <w:rFonts w:hint="eastAsia"/>
          <w:rtl/>
        </w:rPr>
        <w:t>עם</w:t>
      </w:r>
      <w:r w:rsidRPr="004134F6">
        <w:rPr>
          <w:rtl/>
        </w:rPr>
        <w:t xml:space="preserve"> </w:t>
      </w:r>
      <w:r w:rsidRPr="004134F6">
        <w:rPr>
          <w:rFonts w:hint="eastAsia"/>
          <w:rtl/>
        </w:rPr>
        <w:t>גלי</w:t>
      </w:r>
      <w:r w:rsidRPr="004134F6">
        <w:rPr>
          <w:rtl/>
        </w:rPr>
        <w:t xml:space="preserve"> </w:t>
      </w:r>
      <w:r w:rsidRPr="004134F6">
        <w:rPr>
          <w:rFonts w:hint="eastAsia"/>
          <w:rtl/>
        </w:rPr>
        <w:t>הגירה</w:t>
      </w:r>
      <w:r w:rsidRPr="004134F6">
        <w:rPr>
          <w:rtl/>
        </w:rPr>
        <w:t xml:space="preserve"> </w:t>
      </w:r>
      <w:r w:rsidRPr="004134F6">
        <w:rPr>
          <w:rFonts w:hint="eastAsia"/>
          <w:rtl/>
        </w:rPr>
        <w:t>והסתננות</w:t>
      </w:r>
      <w:r w:rsidRPr="004134F6">
        <w:rPr>
          <w:rtl/>
        </w:rPr>
        <w:t xml:space="preserve"> </w:t>
      </w:r>
      <w:r w:rsidRPr="004134F6">
        <w:rPr>
          <w:rFonts w:hint="eastAsia"/>
          <w:rtl/>
        </w:rPr>
        <w:t>בלתי</w:t>
      </w:r>
      <w:r w:rsidRPr="004134F6">
        <w:rPr>
          <w:rtl/>
        </w:rPr>
        <w:t xml:space="preserve"> </w:t>
      </w:r>
      <w:r w:rsidRPr="004134F6">
        <w:rPr>
          <w:rFonts w:hint="eastAsia"/>
          <w:rtl/>
        </w:rPr>
        <w:t>פוסקים</w:t>
      </w:r>
      <w:r w:rsidRPr="004134F6">
        <w:rPr>
          <w:rtl/>
        </w:rPr>
        <w:t xml:space="preserve">. </w:t>
      </w:r>
      <w:r w:rsidRPr="004134F6">
        <w:rPr>
          <w:rFonts w:hint="eastAsia"/>
          <w:rtl/>
        </w:rPr>
        <w:t>ואולם</w:t>
      </w:r>
      <w:r w:rsidR="00BF0F0E" w:rsidRPr="004134F6">
        <w:rPr>
          <w:rtl/>
        </w:rPr>
        <w:t>,</w:t>
      </w:r>
      <w:r w:rsidRPr="004134F6">
        <w:rPr>
          <w:rtl/>
        </w:rPr>
        <w:t xml:space="preserve"> על אף שמדובר בבעיה בקנה מידה רחב, ובמדיניות שראוי שתשורטט על ידי הכנסת, עד היום טרם חוקק חוק הכולל בתוכו את מדיניות מדינת ישראל בנוגע להגירה</w:t>
      </w:r>
      <w:r w:rsidR="00870D9C" w:rsidRPr="004134F6">
        <w:rPr>
          <w:rtl/>
        </w:rPr>
        <w:t xml:space="preserve"> ולכניסה אליה, וכן בנוגע להסדרת </w:t>
      </w:r>
      <w:r w:rsidR="00BF0F0E" w:rsidRPr="004134F6">
        <w:rPr>
          <w:rFonts w:hint="eastAsia"/>
          <w:rtl/>
        </w:rPr>
        <w:t>ה</w:t>
      </w:r>
      <w:r w:rsidR="00870D9C" w:rsidRPr="004134F6">
        <w:rPr>
          <w:rFonts w:hint="eastAsia"/>
          <w:rtl/>
        </w:rPr>
        <w:t>מעמד</w:t>
      </w:r>
      <w:r w:rsidR="00BF0F0E" w:rsidRPr="004134F6">
        <w:rPr>
          <w:rtl/>
        </w:rPr>
        <w:t xml:space="preserve"> של</w:t>
      </w:r>
      <w:r w:rsidR="00870D9C" w:rsidRPr="004134F6">
        <w:rPr>
          <w:rtl/>
        </w:rPr>
        <w:t xml:space="preserve"> </w:t>
      </w:r>
      <w:r w:rsidR="000B1E3E" w:rsidRPr="004134F6">
        <w:rPr>
          <w:rFonts w:hint="eastAsia"/>
          <w:rtl/>
        </w:rPr>
        <w:t>תושב</w:t>
      </w:r>
      <w:r w:rsidR="00BF0F0E" w:rsidRPr="004134F6">
        <w:rPr>
          <w:rFonts w:hint="eastAsia"/>
          <w:rtl/>
        </w:rPr>
        <w:t>ים</w:t>
      </w:r>
      <w:r w:rsidR="000B1E3E" w:rsidRPr="004134F6">
        <w:rPr>
          <w:rtl/>
        </w:rPr>
        <w:t xml:space="preserve"> ואזרח</w:t>
      </w:r>
      <w:r w:rsidR="00BF0F0E" w:rsidRPr="004134F6">
        <w:rPr>
          <w:rFonts w:hint="eastAsia"/>
          <w:rtl/>
        </w:rPr>
        <w:t>ים</w:t>
      </w:r>
      <w:r w:rsidR="000B1E3E" w:rsidRPr="004134F6">
        <w:rPr>
          <w:rtl/>
        </w:rPr>
        <w:t xml:space="preserve"> בישראל</w:t>
      </w:r>
      <w:r w:rsidR="00BF0F0E" w:rsidRPr="004134F6">
        <w:rPr>
          <w:rtl/>
        </w:rPr>
        <w:t>.</w:t>
      </w:r>
    </w:p>
    <w:p w14:paraId="6CDA9AA0" w14:textId="108D974A" w:rsidR="009114A2" w:rsidRDefault="009114A2" w:rsidP="009114A2">
      <w:pPr>
        <w:pStyle w:val="Hesber"/>
        <w:rPr>
          <w:rtl/>
        </w:rPr>
      </w:pPr>
      <w:r>
        <w:rPr>
          <w:rFonts w:hint="cs"/>
          <w:rtl/>
        </w:rPr>
        <w:t xml:space="preserve">בנוסף, </w:t>
      </w:r>
      <w:r w:rsidRPr="008C4500">
        <w:rPr>
          <w:rFonts w:hint="cs"/>
          <w:rtl/>
        </w:rPr>
        <w:t>בהיעדר</w:t>
      </w:r>
      <w:r>
        <w:rPr>
          <w:rFonts w:hint="cs"/>
          <w:rtl/>
        </w:rPr>
        <w:t xml:space="preserve"> הסדר של קבע הרואה לנגד עיניו את דמותה של מדינת ישראל כמדינת הלאום של העם היהודי, נקבעות הוראות שעה על ידי המחוקק ונקבעים הסדרים על ידי בתי הדין </w:t>
      </w:r>
      <w:proofErr w:type="spellStart"/>
      <w:r>
        <w:rPr>
          <w:rFonts w:hint="cs"/>
          <w:rtl/>
        </w:rPr>
        <w:t>לעררים</w:t>
      </w:r>
      <w:proofErr w:type="spellEnd"/>
      <w:r>
        <w:rPr>
          <w:rFonts w:hint="cs"/>
          <w:rtl/>
        </w:rPr>
        <w:t xml:space="preserve">, בית המשפט לעניינים מנהליים ובית המשפט העליון בשיטה של נטילת סמכויות </w:t>
      </w:r>
      <w:r w:rsidR="00BF0F0E">
        <w:rPr>
          <w:rFonts w:hint="cs"/>
          <w:rtl/>
        </w:rPr>
        <w:t>"</w:t>
      </w:r>
      <w:r>
        <w:rPr>
          <w:rFonts w:hint="cs"/>
          <w:rtl/>
        </w:rPr>
        <w:t>זוחלת</w:t>
      </w:r>
      <w:r w:rsidR="00BF0F0E">
        <w:rPr>
          <w:rFonts w:hint="cs"/>
          <w:rtl/>
        </w:rPr>
        <w:t>"</w:t>
      </w:r>
      <w:r>
        <w:rPr>
          <w:rFonts w:hint="cs"/>
          <w:rtl/>
        </w:rPr>
        <w:t xml:space="preserve"> משרי הפנים ומנבחרי הציבור.</w:t>
      </w:r>
    </w:p>
    <w:p w14:paraId="196AD660" w14:textId="651318B8" w:rsidR="009114A2" w:rsidRDefault="009114A2" w:rsidP="00BF0F0E">
      <w:pPr>
        <w:pStyle w:val="Hesber"/>
        <w:rPr>
          <w:rtl/>
        </w:rPr>
      </w:pPr>
      <w:r>
        <w:rPr>
          <w:rFonts w:hint="cs"/>
          <w:rtl/>
        </w:rPr>
        <w:t>הצעת חוק</w:t>
      </w:r>
      <w:r w:rsidR="00BF0F0E">
        <w:rPr>
          <w:rFonts w:hint="cs"/>
          <w:rtl/>
        </w:rPr>
        <w:t>-יסוד</w:t>
      </w:r>
      <w:r>
        <w:rPr>
          <w:rFonts w:hint="cs"/>
          <w:rtl/>
        </w:rPr>
        <w:t xml:space="preserve"> זו </w:t>
      </w:r>
      <w:r w:rsidR="000B2637">
        <w:rPr>
          <w:rFonts w:hint="cs"/>
          <w:rtl/>
        </w:rPr>
        <w:t>קובעת</w:t>
      </w:r>
      <w:r>
        <w:rPr>
          <w:rFonts w:hint="cs"/>
          <w:rtl/>
        </w:rPr>
        <w:t xml:space="preserve"> קווים כללים בנוגע לכניסה לישראל</w:t>
      </w:r>
      <w:r w:rsidR="000B1E3E">
        <w:rPr>
          <w:rFonts w:hint="cs"/>
          <w:rtl/>
        </w:rPr>
        <w:t>, לקבלת מעמד בישראל, להרחקה מישראל</w:t>
      </w:r>
      <w:r>
        <w:rPr>
          <w:rFonts w:hint="cs"/>
          <w:rtl/>
        </w:rPr>
        <w:t xml:space="preserve"> </w:t>
      </w:r>
      <w:r w:rsidR="000B1E3E">
        <w:rPr>
          <w:rFonts w:hint="cs"/>
          <w:rtl/>
        </w:rPr>
        <w:t xml:space="preserve">וכן לשלילת </w:t>
      </w:r>
      <w:r>
        <w:rPr>
          <w:rFonts w:hint="cs"/>
          <w:rtl/>
        </w:rPr>
        <w:t>אזרחותו של תושב או אזרח ישראלי.</w:t>
      </w:r>
    </w:p>
    <w:p w14:paraId="32AEEA3B" w14:textId="55E1BBC1" w:rsidR="009114A2" w:rsidRDefault="00BF0F0E" w:rsidP="00BF0F0E">
      <w:pPr>
        <w:pStyle w:val="Hesber"/>
        <w:rPr>
          <w:rtl/>
        </w:rPr>
      </w:pPr>
      <w:r>
        <w:rPr>
          <w:rFonts w:hint="cs"/>
          <w:rtl/>
        </w:rPr>
        <w:lastRenderedPageBreak/>
        <w:t>ב</w:t>
      </w:r>
      <w:r w:rsidR="009114A2">
        <w:rPr>
          <w:rFonts w:hint="cs"/>
          <w:rtl/>
        </w:rPr>
        <w:t xml:space="preserve">סעיפים 1-2 </w:t>
      </w:r>
      <w:r>
        <w:rPr>
          <w:rFonts w:hint="cs"/>
          <w:rtl/>
        </w:rPr>
        <w:t xml:space="preserve">מוצע </w:t>
      </w:r>
      <w:r w:rsidR="009114A2">
        <w:rPr>
          <w:rFonts w:hint="cs"/>
          <w:rtl/>
        </w:rPr>
        <w:t>לקבוע את עקרונות היסוד של החוק ומטרותיו. הסעיפים קובעים כי מדינת ישראל היא ביתו של העם היהודי, ובה יממש את זכותו להגדרה עצמית.</w:t>
      </w:r>
    </w:p>
    <w:p w14:paraId="33276A40" w14:textId="4FECB853" w:rsidR="007E6722" w:rsidRDefault="00BF0F0E" w:rsidP="00346E4A">
      <w:pPr>
        <w:pStyle w:val="Hesber"/>
        <w:rPr>
          <w:rtl/>
        </w:rPr>
      </w:pPr>
      <w:r>
        <w:rPr>
          <w:rFonts w:hint="cs"/>
          <w:rtl/>
        </w:rPr>
        <w:t>ב</w:t>
      </w:r>
      <w:r w:rsidR="009114A2">
        <w:rPr>
          <w:rFonts w:hint="cs"/>
          <w:rtl/>
        </w:rPr>
        <w:t xml:space="preserve">סעיף 3 </w:t>
      </w:r>
      <w:r>
        <w:rPr>
          <w:rFonts w:hint="cs"/>
          <w:rtl/>
        </w:rPr>
        <w:t>מוצע לקבוע</w:t>
      </w:r>
      <w:r w:rsidR="00EA409C">
        <w:rPr>
          <w:rFonts w:hint="cs"/>
          <w:rtl/>
        </w:rPr>
        <w:t xml:space="preserve"> </w:t>
      </w:r>
      <w:r w:rsidR="009114A2">
        <w:rPr>
          <w:rFonts w:hint="cs"/>
          <w:rtl/>
        </w:rPr>
        <w:t xml:space="preserve">כי </w:t>
      </w:r>
      <w:r w:rsidR="007E6722">
        <w:rPr>
          <w:rFonts w:hint="cs"/>
          <w:rtl/>
        </w:rPr>
        <w:t xml:space="preserve">אם תיווצר סתירה בין הוראות חוק, לרבות חוק-יסוד, לבין הוראות חוק-יסוד זה, יחולו הוראות חוק-יסוד זה, אלא אם נאמר בחוק או בחוק היסוד במפורש שתקפו הוא על אף האמור בחוק-יסוד זה. </w:t>
      </w:r>
    </w:p>
    <w:p w14:paraId="2D56819D" w14:textId="7D7B2702" w:rsidR="009114A2" w:rsidRDefault="00BF0F0E" w:rsidP="007E6722">
      <w:pPr>
        <w:pStyle w:val="Hesber"/>
        <w:rPr>
          <w:rtl/>
        </w:rPr>
      </w:pPr>
      <w:r>
        <w:rPr>
          <w:rFonts w:hint="cs"/>
          <w:rtl/>
        </w:rPr>
        <w:t>ב</w:t>
      </w:r>
      <w:r w:rsidR="009114A2">
        <w:rPr>
          <w:rFonts w:hint="cs"/>
          <w:rtl/>
        </w:rPr>
        <w:t xml:space="preserve">סעיף 4 </w:t>
      </w:r>
      <w:r>
        <w:rPr>
          <w:rFonts w:hint="cs"/>
          <w:rtl/>
        </w:rPr>
        <w:t>מוצע לקבוע</w:t>
      </w:r>
      <w:r w:rsidR="00EA409C">
        <w:rPr>
          <w:rFonts w:hint="cs"/>
          <w:rtl/>
        </w:rPr>
        <w:t xml:space="preserve"> </w:t>
      </w:r>
      <w:r w:rsidR="009114A2">
        <w:rPr>
          <w:rFonts w:hint="cs"/>
          <w:rtl/>
        </w:rPr>
        <w:t xml:space="preserve">כי קבלת מעמד בישראל תהיה </w:t>
      </w:r>
      <w:proofErr w:type="spellStart"/>
      <w:r w:rsidR="009114A2">
        <w:rPr>
          <w:rFonts w:hint="cs"/>
          <w:rtl/>
        </w:rPr>
        <w:t>מכח</w:t>
      </w:r>
      <w:proofErr w:type="spellEnd"/>
      <w:r w:rsidR="009114A2">
        <w:rPr>
          <w:rFonts w:hint="cs"/>
          <w:rtl/>
        </w:rPr>
        <w:t xml:space="preserve"> חוק</w:t>
      </w:r>
      <w:r w:rsidR="000B2637">
        <w:rPr>
          <w:rFonts w:hint="cs"/>
          <w:rtl/>
        </w:rPr>
        <w:t xml:space="preserve">, כי תיקבע מכסה שנתית </w:t>
      </w:r>
      <w:r w:rsidR="0065553C">
        <w:rPr>
          <w:rFonts w:hint="cs"/>
          <w:rtl/>
        </w:rPr>
        <w:t xml:space="preserve">של מקבלי מעמד </w:t>
      </w:r>
      <w:r w:rsidR="000B2637">
        <w:rPr>
          <w:rFonts w:hint="cs"/>
          <w:rtl/>
        </w:rPr>
        <w:t>בישראל, וכי הסתננות לישראל שלא כדין</w:t>
      </w:r>
      <w:r w:rsidR="00EE7F2E">
        <w:rPr>
          <w:rFonts w:hint="cs"/>
          <w:rtl/>
        </w:rPr>
        <w:t xml:space="preserve"> או שהייה שלא כדין</w:t>
      </w:r>
      <w:r w:rsidR="000B2637">
        <w:rPr>
          <w:rFonts w:hint="cs"/>
          <w:rtl/>
        </w:rPr>
        <w:t xml:space="preserve">, תהווה חסם מפני קבלת מעמד בישראל, וזאת ככל שמדובר בשהות של למעלה משלושה חודשים בגבולות הארץ. </w:t>
      </w:r>
      <w:r>
        <w:rPr>
          <w:rFonts w:hint="cs"/>
          <w:rtl/>
        </w:rPr>
        <w:t>ה</w:t>
      </w:r>
      <w:r w:rsidR="000B2637">
        <w:rPr>
          <w:rFonts w:hint="cs"/>
          <w:rtl/>
        </w:rPr>
        <w:t xml:space="preserve">הוראות </w:t>
      </w:r>
      <w:r>
        <w:rPr>
          <w:rFonts w:hint="cs"/>
          <w:rtl/>
        </w:rPr>
        <w:t xml:space="preserve">האמורות </w:t>
      </w:r>
      <w:r w:rsidR="000B2637">
        <w:rPr>
          <w:rFonts w:hint="cs"/>
          <w:rtl/>
        </w:rPr>
        <w:t xml:space="preserve">לא </w:t>
      </w:r>
      <w:r>
        <w:rPr>
          <w:rFonts w:hint="cs"/>
          <w:rtl/>
        </w:rPr>
        <w:t>יחולו על מי ש</w:t>
      </w:r>
      <w:r w:rsidR="000B2637">
        <w:rPr>
          <w:rFonts w:hint="cs"/>
          <w:rtl/>
        </w:rPr>
        <w:t xml:space="preserve">זכאים </w:t>
      </w:r>
      <w:r w:rsidR="0065553C">
        <w:rPr>
          <w:rFonts w:hint="cs"/>
          <w:rtl/>
        </w:rPr>
        <w:t>לעלות לישראל</w:t>
      </w:r>
      <w:r w:rsidR="000B2637">
        <w:rPr>
          <w:rFonts w:hint="cs"/>
          <w:rtl/>
        </w:rPr>
        <w:t xml:space="preserve"> מכוח חוק השבות.</w:t>
      </w:r>
    </w:p>
    <w:p w14:paraId="6AB72CA3" w14:textId="262E4674" w:rsidR="009114A2" w:rsidRDefault="00BF0F0E" w:rsidP="00612079">
      <w:pPr>
        <w:pStyle w:val="Hesber"/>
        <w:rPr>
          <w:rtl/>
        </w:rPr>
      </w:pPr>
      <w:r>
        <w:rPr>
          <w:rFonts w:hint="cs"/>
          <w:rtl/>
        </w:rPr>
        <w:t>ב</w:t>
      </w:r>
      <w:r w:rsidR="009114A2">
        <w:rPr>
          <w:rFonts w:hint="cs"/>
          <w:rtl/>
        </w:rPr>
        <w:t xml:space="preserve">סעיף 5 </w:t>
      </w:r>
      <w:r>
        <w:rPr>
          <w:rFonts w:hint="cs"/>
          <w:rtl/>
        </w:rPr>
        <w:t xml:space="preserve">מוצע לקבוע </w:t>
      </w:r>
      <w:r w:rsidR="009114A2">
        <w:rPr>
          <w:rFonts w:hint="cs"/>
          <w:rtl/>
        </w:rPr>
        <w:t xml:space="preserve">כי </w:t>
      </w:r>
      <w:r w:rsidR="000B2637">
        <w:rPr>
          <w:rFonts w:hint="cs"/>
          <w:rtl/>
        </w:rPr>
        <w:t xml:space="preserve">הוראות הכניסה לישראל ייקבעו בחוק, וכן כי מי שאינו אזרח או תושב ישראל אינו רשאי לפנות לבית המשפט כדי שיכריע בעניין כניסתו לישראל. רק תושב או אזרח יוכל לפנות לבית המשפט בעניין אדם אחר המבקש להיכנס, </w:t>
      </w:r>
      <w:r w:rsidR="0065553C">
        <w:rPr>
          <w:rFonts w:hint="cs"/>
          <w:rtl/>
        </w:rPr>
        <w:t>אולם בית המשפט ייתן סעד רק אם י</w:t>
      </w:r>
      <w:r w:rsidR="000B2637">
        <w:rPr>
          <w:rFonts w:hint="cs"/>
          <w:rtl/>
        </w:rPr>
        <w:t>קבע שאכן יש לתת מעמד</w:t>
      </w:r>
      <w:r>
        <w:rPr>
          <w:rFonts w:hint="cs"/>
          <w:rtl/>
        </w:rPr>
        <w:t xml:space="preserve"> </w:t>
      </w:r>
      <w:r w:rsidR="000B2637">
        <w:rPr>
          <w:rFonts w:hint="cs"/>
          <w:rtl/>
        </w:rPr>
        <w:t>לאדם הנידון. גם הגבלות אלו לא יחולו על מי שזכאי לעלות ארצה על פי חוק השבות.</w:t>
      </w:r>
    </w:p>
    <w:p w14:paraId="103869CC" w14:textId="53BFEFF9" w:rsidR="009114A2" w:rsidRDefault="00BF0F0E" w:rsidP="00612079">
      <w:pPr>
        <w:pStyle w:val="Hesber"/>
        <w:rPr>
          <w:rtl/>
        </w:rPr>
      </w:pPr>
      <w:r>
        <w:rPr>
          <w:rFonts w:hint="cs"/>
          <w:rtl/>
        </w:rPr>
        <w:t>ב</w:t>
      </w:r>
      <w:r w:rsidR="009114A2">
        <w:rPr>
          <w:rFonts w:hint="cs"/>
          <w:rtl/>
        </w:rPr>
        <w:t xml:space="preserve">סעיף 6 </w:t>
      </w:r>
      <w:r>
        <w:rPr>
          <w:rFonts w:hint="cs"/>
          <w:rtl/>
        </w:rPr>
        <w:t xml:space="preserve">מוצע לקבוע כי הוראות לעניין מניעת כניסה לישראל ייקבעו בחוק. בנוסף, מוצע כי הממשלה באישור </w:t>
      </w:r>
      <w:r w:rsidR="009114A2">
        <w:rPr>
          <w:rFonts w:hint="cs"/>
          <w:rtl/>
        </w:rPr>
        <w:t xml:space="preserve">הכנסת תהא </w:t>
      </w:r>
      <w:r>
        <w:rPr>
          <w:rFonts w:hint="cs"/>
          <w:rtl/>
        </w:rPr>
        <w:t xml:space="preserve">רשאית לקבוע כי אזרחים או </w:t>
      </w:r>
      <w:r w:rsidR="000B2637">
        <w:rPr>
          <w:rFonts w:hint="cs"/>
          <w:rtl/>
        </w:rPr>
        <w:t xml:space="preserve">תושבים </w:t>
      </w:r>
      <w:r>
        <w:rPr>
          <w:rFonts w:hint="cs"/>
          <w:rtl/>
        </w:rPr>
        <w:t xml:space="preserve">של </w:t>
      </w:r>
      <w:r w:rsidR="000B2637">
        <w:rPr>
          <w:rFonts w:hint="cs"/>
          <w:rtl/>
        </w:rPr>
        <w:t xml:space="preserve">מדינות </w:t>
      </w:r>
      <w:r>
        <w:rPr>
          <w:rFonts w:hint="cs"/>
          <w:rtl/>
        </w:rPr>
        <w:t xml:space="preserve">או אזורים מסוימים </w:t>
      </w:r>
      <w:r w:rsidR="000B2637">
        <w:rPr>
          <w:rFonts w:hint="cs"/>
          <w:rtl/>
        </w:rPr>
        <w:t>לא יוכלו לקבל מעמד או היתר שהייה בישראל</w:t>
      </w:r>
      <w:r w:rsidR="009114A2">
        <w:rPr>
          <w:rFonts w:hint="cs"/>
          <w:rtl/>
        </w:rPr>
        <w:t>.</w:t>
      </w:r>
    </w:p>
    <w:p w14:paraId="1D286257" w14:textId="2BA906D7" w:rsidR="009114A2" w:rsidRDefault="004134F6" w:rsidP="00D71BF9">
      <w:pPr>
        <w:pStyle w:val="Hesber"/>
        <w:rPr>
          <w:rtl/>
        </w:rPr>
      </w:pPr>
      <w:r>
        <w:rPr>
          <w:rFonts w:hint="cs"/>
          <w:rtl/>
        </w:rPr>
        <w:t>ב</w:t>
      </w:r>
      <w:r w:rsidR="009114A2">
        <w:rPr>
          <w:rFonts w:hint="cs"/>
          <w:rtl/>
        </w:rPr>
        <w:t xml:space="preserve">סעיף 7 </w:t>
      </w:r>
      <w:r w:rsidR="00D71BF9">
        <w:rPr>
          <w:rFonts w:hint="cs"/>
          <w:rtl/>
        </w:rPr>
        <w:t xml:space="preserve">מוצע לקבוע </w:t>
      </w:r>
      <w:r w:rsidR="009114A2">
        <w:rPr>
          <w:rFonts w:hint="cs"/>
          <w:rtl/>
        </w:rPr>
        <w:t>כי המדינה תרחיק אל מחוץ לגבולותיה שוהים בלתי חוקיים שנכנסו אליה בניגוד לחוק. עוד מוצע כי המדינה תעודד עזיבה של שוהים בלי חוקיים ש</w:t>
      </w:r>
      <w:r w:rsidR="004B2C6F">
        <w:rPr>
          <w:rFonts w:hint="cs"/>
          <w:rtl/>
        </w:rPr>
        <w:t>אינה יכולה להרחיקם</w:t>
      </w:r>
      <w:r w:rsidR="00322A1A">
        <w:rPr>
          <w:rFonts w:hint="cs"/>
          <w:rtl/>
        </w:rPr>
        <w:t xml:space="preserve"> באמצעות</w:t>
      </w:r>
      <w:r w:rsidR="0065553C">
        <w:rPr>
          <w:rFonts w:hint="cs"/>
          <w:rtl/>
        </w:rPr>
        <w:t xml:space="preserve"> הסדרים שייקבעו בחוק</w:t>
      </w:r>
      <w:r w:rsidR="00322A1A">
        <w:rPr>
          <w:rFonts w:hint="cs"/>
          <w:rtl/>
        </w:rPr>
        <w:t xml:space="preserve">. </w:t>
      </w:r>
      <w:r w:rsidR="0065553C">
        <w:rPr>
          <w:rFonts w:hint="cs"/>
          <w:rtl/>
        </w:rPr>
        <w:t xml:space="preserve"> חוקים למטרה זו </w:t>
      </w:r>
      <w:r w:rsidR="00322A1A">
        <w:rPr>
          <w:rFonts w:hint="cs"/>
          <w:rtl/>
        </w:rPr>
        <w:t>יוכלו לקבוע, בין היתר, כי</w:t>
      </w:r>
      <w:r w:rsidR="004B2C6F">
        <w:rPr>
          <w:rFonts w:hint="cs"/>
          <w:rtl/>
        </w:rPr>
        <w:t>: שוהים בלתי חוקיים יוחזקו במשמורת</w:t>
      </w:r>
      <w:r w:rsidR="00322A1A">
        <w:rPr>
          <w:rFonts w:hint="cs"/>
          <w:rtl/>
        </w:rPr>
        <w:t xml:space="preserve"> לכל תקופת שהותם בישראל; תנועתם של שוהים ב</w:t>
      </w:r>
      <w:r w:rsidR="0065553C">
        <w:rPr>
          <w:rFonts w:hint="cs"/>
          <w:rtl/>
        </w:rPr>
        <w:t>ל</w:t>
      </w:r>
      <w:r w:rsidR="00322A1A">
        <w:rPr>
          <w:rFonts w:hint="cs"/>
          <w:rtl/>
        </w:rPr>
        <w:t xml:space="preserve">תי חוקיים תוגבל לאזורים או זמנים מסוימים; הגבלות </w:t>
      </w:r>
      <w:r w:rsidR="0065553C">
        <w:rPr>
          <w:rFonts w:hint="cs"/>
          <w:rtl/>
        </w:rPr>
        <w:t xml:space="preserve">לשוהים בלתי חוקיים בעניין </w:t>
      </w:r>
      <w:r w:rsidR="00322A1A">
        <w:rPr>
          <w:rFonts w:hint="cs"/>
          <w:rtl/>
        </w:rPr>
        <w:t xml:space="preserve">תעסוקה באזורים, בתחומים או בתנאים מסוימים; החזקה על ידי המדינה של כספים המגיעים לידיו של השוהה </w:t>
      </w:r>
      <w:r w:rsidR="0065553C">
        <w:rPr>
          <w:rFonts w:hint="cs"/>
          <w:rtl/>
        </w:rPr>
        <w:t xml:space="preserve">הבלתי חוקי </w:t>
      </w:r>
      <w:r w:rsidR="00322A1A">
        <w:rPr>
          <w:rFonts w:hint="cs"/>
          <w:rtl/>
        </w:rPr>
        <w:t xml:space="preserve">שיוחזרו לו רק כאשר יעזוב את המדינה; </w:t>
      </w:r>
      <w:r w:rsidR="0065553C">
        <w:rPr>
          <w:rFonts w:hint="cs"/>
          <w:rtl/>
        </w:rPr>
        <w:t xml:space="preserve">וכן </w:t>
      </w:r>
      <w:r w:rsidR="00322A1A">
        <w:rPr>
          <w:rFonts w:hint="cs"/>
          <w:rtl/>
        </w:rPr>
        <w:t xml:space="preserve">כל הוראה המונעת </w:t>
      </w:r>
      <w:proofErr w:type="spellStart"/>
      <w:r w:rsidR="00322A1A">
        <w:rPr>
          <w:rFonts w:hint="cs"/>
          <w:rtl/>
        </w:rPr>
        <w:t>משוהה</w:t>
      </w:r>
      <w:proofErr w:type="spellEnd"/>
      <w:r w:rsidR="00322A1A">
        <w:rPr>
          <w:rFonts w:hint="cs"/>
          <w:rtl/>
        </w:rPr>
        <w:t xml:space="preserve"> בלתי חוקי לקבל שירותים שלהם זכאי בעל מעמד קבוע.</w:t>
      </w:r>
      <w:r w:rsidR="004B2C6F">
        <w:rPr>
          <w:rFonts w:hint="cs"/>
          <w:rtl/>
        </w:rPr>
        <w:t xml:space="preserve"> </w:t>
      </w:r>
    </w:p>
    <w:p w14:paraId="63055047" w14:textId="7EA28197" w:rsidR="000619E7" w:rsidRDefault="00D71BF9" w:rsidP="00D71BF9">
      <w:pPr>
        <w:pStyle w:val="Hesber"/>
        <w:rPr>
          <w:rtl/>
        </w:rPr>
      </w:pPr>
      <w:r>
        <w:rPr>
          <w:rFonts w:hint="cs"/>
          <w:rtl/>
        </w:rPr>
        <w:t>ב</w:t>
      </w:r>
      <w:r w:rsidR="009114A2">
        <w:rPr>
          <w:rFonts w:hint="cs"/>
          <w:rtl/>
        </w:rPr>
        <w:t xml:space="preserve">סעיף </w:t>
      </w:r>
      <w:r w:rsidR="00322A1A">
        <w:rPr>
          <w:rFonts w:hint="cs"/>
          <w:rtl/>
        </w:rPr>
        <w:t xml:space="preserve">8 </w:t>
      </w:r>
      <w:r>
        <w:rPr>
          <w:rFonts w:hint="cs"/>
          <w:rtl/>
        </w:rPr>
        <w:t>מוצע לקבוע</w:t>
      </w:r>
      <w:r w:rsidR="00322A1A">
        <w:rPr>
          <w:rFonts w:hint="cs"/>
          <w:rtl/>
        </w:rPr>
        <w:t xml:space="preserve"> </w:t>
      </w:r>
      <w:r>
        <w:rPr>
          <w:rFonts w:hint="cs"/>
          <w:rtl/>
        </w:rPr>
        <w:t xml:space="preserve">כי </w:t>
      </w:r>
      <w:r w:rsidR="009114A2">
        <w:rPr>
          <w:rFonts w:hint="cs"/>
          <w:rtl/>
        </w:rPr>
        <w:t xml:space="preserve">הכנסת תהא רשאית לקבוע </w:t>
      </w:r>
      <w:r w:rsidR="0065553C">
        <w:rPr>
          <w:rFonts w:hint="cs"/>
          <w:rtl/>
        </w:rPr>
        <w:t xml:space="preserve">חוקים שיסדירו תנאים </w:t>
      </w:r>
      <w:r w:rsidR="009114A2">
        <w:rPr>
          <w:rFonts w:hint="cs"/>
          <w:rtl/>
        </w:rPr>
        <w:t>לשלילת תושבות ואזרחות ישראלית</w:t>
      </w:r>
      <w:r>
        <w:rPr>
          <w:rFonts w:hint="cs"/>
          <w:rtl/>
        </w:rPr>
        <w:t>, בהתאם לתנאים שייקבעו בחוק.</w:t>
      </w:r>
    </w:p>
    <w:p w14:paraId="325898A2" w14:textId="070F3567" w:rsidR="000619E7" w:rsidRDefault="00D71BF9" w:rsidP="00D71BF9">
      <w:pPr>
        <w:pStyle w:val="Hesber"/>
        <w:rPr>
          <w:rtl/>
        </w:rPr>
      </w:pPr>
      <w:r>
        <w:rPr>
          <w:rFonts w:hint="cs"/>
          <w:rtl/>
        </w:rPr>
        <w:t>ב</w:t>
      </w:r>
      <w:r w:rsidR="000619E7">
        <w:rPr>
          <w:rFonts w:hint="cs"/>
          <w:rtl/>
        </w:rPr>
        <w:t xml:space="preserve">סעיף 9 </w:t>
      </w:r>
      <w:r>
        <w:rPr>
          <w:rFonts w:hint="cs"/>
          <w:rtl/>
        </w:rPr>
        <w:t xml:space="preserve">מוצע לקבוע </w:t>
      </w:r>
      <w:r w:rsidR="000619E7">
        <w:rPr>
          <w:rFonts w:hint="cs"/>
          <w:rtl/>
        </w:rPr>
        <w:t xml:space="preserve">כי תקנות שעת חירום לא </w:t>
      </w:r>
      <w:r>
        <w:rPr>
          <w:rFonts w:hint="cs"/>
          <w:rtl/>
        </w:rPr>
        <w:t xml:space="preserve">יוכלו </w:t>
      </w:r>
      <w:r w:rsidR="000619E7">
        <w:rPr>
          <w:rFonts w:hint="cs"/>
          <w:rtl/>
        </w:rPr>
        <w:t>לשנות או להגביל את הוראות חוק-יסוד זה.</w:t>
      </w:r>
    </w:p>
    <w:p w14:paraId="03FBE60D" w14:textId="2FBDE36B" w:rsidR="000619E7" w:rsidRDefault="00D71BF9" w:rsidP="00D71BF9">
      <w:pPr>
        <w:pStyle w:val="Hesber"/>
        <w:rPr>
          <w:rtl/>
        </w:rPr>
      </w:pPr>
      <w:r>
        <w:rPr>
          <w:rFonts w:hint="cs"/>
          <w:rtl/>
        </w:rPr>
        <w:t>ב</w:t>
      </w:r>
      <w:r w:rsidR="000619E7">
        <w:rPr>
          <w:rFonts w:hint="cs"/>
          <w:rtl/>
        </w:rPr>
        <w:t xml:space="preserve">סעיף 10 </w:t>
      </w:r>
      <w:r>
        <w:rPr>
          <w:rFonts w:hint="cs"/>
          <w:rtl/>
        </w:rPr>
        <w:t xml:space="preserve">מוצע לקבוע כי לא ניתן יהיה </w:t>
      </w:r>
      <w:r w:rsidR="000619E7">
        <w:rPr>
          <w:rFonts w:hint="cs"/>
          <w:rtl/>
        </w:rPr>
        <w:t>לשנות את האמור בחוק-יסוד זה אלא בחוק-יסוד שהתקבל ברוב חברי כנסת.</w:t>
      </w:r>
    </w:p>
    <w:p w14:paraId="7F6961CB" w14:textId="3B527F8F" w:rsidR="00E13C27" w:rsidRDefault="00D71BF9" w:rsidP="00346E4A">
      <w:pPr>
        <w:pStyle w:val="Hesber"/>
        <w:rPr>
          <w:rtl/>
        </w:rPr>
      </w:pPr>
      <w:r>
        <w:rPr>
          <w:rFonts w:hint="cs"/>
          <w:rtl/>
        </w:rPr>
        <w:t>ב</w:t>
      </w:r>
      <w:r w:rsidR="000619E7">
        <w:rPr>
          <w:rFonts w:hint="cs"/>
          <w:rtl/>
        </w:rPr>
        <w:t xml:space="preserve">סעיף 11 </w:t>
      </w:r>
      <w:r>
        <w:rPr>
          <w:rFonts w:hint="cs"/>
          <w:rtl/>
        </w:rPr>
        <w:t xml:space="preserve">מוצע לקבוע </w:t>
      </w:r>
      <w:r w:rsidR="000619E7">
        <w:rPr>
          <w:rFonts w:hint="cs"/>
          <w:rtl/>
        </w:rPr>
        <w:t xml:space="preserve">כי כל חוק או הוראת מנהל שעוסקים בנושאים </w:t>
      </w:r>
      <w:r w:rsidR="00EE7F2E">
        <w:rPr>
          <w:rFonts w:hint="cs"/>
          <w:rtl/>
        </w:rPr>
        <w:t>המוסדרים</w:t>
      </w:r>
      <w:r>
        <w:rPr>
          <w:rFonts w:hint="cs"/>
          <w:rtl/>
        </w:rPr>
        <w:t xml:space="preserve"> בחוק היסוד המוצע</w:t>
      </w:r>
      <w:r w:rsidR="000619E7">
        <w:rPr>
          <w:rFonts w:hint="cs"/>
          <w:rtl/>
        </w:rPr>
        <w:t>,</w:t>
      </w:r>
      <w:r>
        <w:rPr>
          <w:rFonts w:hint="cs"/>
          <w:rtl/>
        </w:rPr>
        <w:t xml:space="preserve"> </w:t>
      </w:r>
      <w:r w:rsidR="00EE7F2E">
        <w:rPr>
          <w:rFonts w:hint="cs"/>
          <w:rtl/>
        </w:rPr>
        <w:t xml:space="preserve">והמצויים בתוקף במועד חקיקתו, ייחשבו </w:t>
      </w:r>
      <w:r w:rsidR="007E6722">
        <w:rPr>
          <w:rFonts w:hint="cs"/>
          <w:rtl/>
        </w:rPr>
        <w:t>כעומדים בהוראות חוק-יסוד זה</w:t>
      </w:r>
      <w:r w:rsidR="000619E7">
        <w:rPr>
          <w:rFonts w:hint="cs"/>
          <w:rtl/>
        </w:rPr>
        <w:t xml:space="preserve">. כמו כן, </w:t>
      </w:r>
      <w:r>
        <w:rPr>
          <w:rFonts w:hint="cs"/>
          <w:rtl/>
        </w:rPr>
        <w:t xml:space="preserve">מוצע לקבוע כי </w:t>
      </w:r>
      <w:r w:rsidR="000619E7">
        <w:rPr>
          <w:rFonts w:hint="cs"/>
          <w:rtl/>
        </w:rPr>
        <w:t>עד שתיקבע מכסה שנתית של מקבלי מעמד בישראל, ייתנו מעמד רק במק</w:t>
      </w:r>
      <w:r w:rsidR="005A3A02">
        <w:rPr>
          <w:rFonts w:hint="cs"/>
          <w:rtl/>
        </w:rPr>
        <w:t xml:space="preserve">רים מיוחדים שייקבעו </w:t>
      </w:r>
      <w:r w:rsidR="00AF2B8E">
        <w:rPr>
          <w:rFonts w:hint="cs"/>
          <w:rtl/>
        </w:rPr>
        <w:t xml:space="preserve">בחוק. </w:t>
      </w:r>
    </w:p>
    <w:p w14:paraId="098285B2" w14:textId="77777777" w:rsidR="00FC498C" w:rsidRDefault="00412D35" w:rsidP="00A40F80">
      <w:pPr>
        <w:spacing w:line="240" w:lineRule="auto"/>
        <w:jc w:val="left"/>
      </w:pPr>
      <w:bookmarkStart w:id="9" w:name="selectedDocDateB"/>
      <w:bookmarkEnd w:id="9"/>
      <w:r>
        <w:rPr>
          <w:rFonts w:eastAsia="David" w:hint="cs"/>
          <w:sz w:val="26"/>
          <w:szCs w:val="26"/>
          <w:rtl/>
        </w:rPr>
        <w:t>--------------------------------</w:t>
      </w:r>
    </w:p>
    <w:p w14:paraId="6F4FB63B" w14:textId="77777777" w:rsidR="00FC498C" w:rsidRDefault="00412D35" w:rsidP="00A40F80">
      <w:pPr>
        <w:spacing w:line="240" w:lineRule="auto"/>
        <w:jc w:val="left"/>
      </w:pPr>
      <w:r>
        <w:rPr>
          <w:rFonts w:eastAsia="David" w:hint="cs"/>
          <w:sz w:val="26"/>
          <w:szCs w:val="26"/>
          <w:rtl/>
        </w:rPr>
        <w:t>הוגשה ליו"ר הכנסת והסגנים</w:t>
      </w:r>
    </w:p>
    <w:p w14:paraId="600EFAF4" w14:textId="77777777" w:rsidR="00FC498C" w:rsidRDefault="00412D35" w:rsidP="00A40F80">
      <w:pPr>
        <w:spacing w:line="240" w:lineRule="auto"/>
        <w:jc w:val="left"/>
      </w:pPr>
      <w:r>
        <w:rPr>
          <w:rFonts w:eastAsia="David" w:hint="cs"/>
          <w:sz w:val="26"/>
          <w:szCs w:val="26"/>
          <w:rtl/>
        </w:rPr>
        <w:t>והונחה על שולחן הכנסת ביום</w:t>
      </w:r>
    </w:p>
    <w:p w14:paraId="54923EDD" w14:textId="724A032C" w:rsidR="00FC498C" w:rsidRDefault="00412D35" w:rsidP="00A40F80">
      <w:pPr>
        <w:spacing w:line="240" w:lineRule="auto"/>
        <w:jc w:val="left"/>
      </w:pPr>
      <w:r>
        <w:rPr>
          <w:rFonts w:eastAsia="David" w:hint="cs"/>
          <w:sz w:val="26"/>
          <w:szCs w:val="26"/>
          <w:rtl/>
        </w:rPr>
        <w:t xml:space="preserve">י"א בתמוז התשפ"א (21.06.2021) </w:t>
      </w:r>
    </w:p>
    <w:sectPr w:rsidR="00FC498C" w:rsidSect="00A40F80">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adasa Roso SL">
    <w:altName w:val="Times New Roman"/>
    <w:charset w:val="00"/>
    <w:family w:val="roman"/>
    <w:pitch w:val="variable"/>
    <w:sig w:usb0="80001827" w:usb1="5000004A" w:usb2="0000002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17C2" w14:textId="2F98A4F3" w:rsidR="00512991" w:rsidRDefault="00512991" w:rsidP="00512991">
    <w:pPr>
      <w:pStyle w:val="a9"/>
      <w:rPr>
        <w:rtl/>
        <w:cs/>
      </w:rPr>
    </w:pP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A40F80">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5C254387" w14:textId="77777777" w:rsidR="000467E2" w:rsidRDefault="000467E2" w:rsidP="000467E2">
      <w:pPr>
        <w:pStyle w:val="a4"/>
        <w:rPr>
          <w:rtl/>
        </w:rPr>
      </w:pPr>
      <w:r>
        <w:rPr>
          <w:rStyle w:val="a6"/>
        </w:rPr>
        <w:footnoteRef/>
      </w:r>
      <w:r>
        <w:rPr>
          <w:rtl/>
        </w:rPr>
        <w:t xml:space="preserve"> </w:t>
      </w:r>
      <w:r>
        <w:rPr>
          <w:rFonts w:hint="cs"/>
          <w:rtl/>
        </w:rPr>
        <w:t xml:space="preserve">ס"ח </w:t>
      </w:r>
      <w:proofErr w:type="spellStart"/>
      <w:r>
        <w:rPr>
          <w:rFonts w:hint="cs"/>
          <w:rtl/>
        </w:rPr>
        <w:t>התש"י</w:t>
      </w:r>
      <w:proofErr w:type="spellEnd"/>
      <w:r>
        <w:rPr>
          <w:rFonts w:hint="cs"/>
          <w:rtl/>
        </w:rPr>
        <w:t xml:space="preserve">, עמ' 159.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1C11"/>
    <w:multiLevelType w:val="hybridMultilevel"/>
    <w:tmpl w:val="F23A574C"/>
    <w:lvl w:ilvl="0" w:tplc="A758634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31B4C"/>
    <w:multiLevelType w:val="hybridMultilevel"/>
    <w:tmpl w:val="AC5E2CC2"/>
    <w:lvl w:ilvl="0" w:tplc="8C9228C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19702695"/>
    <w:multiLevelType w:val="hybridMultilevel"/>
    <w:tmpl w:val="B8040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55953"/>
    <w:multiLevelType w:val="hybridMultilevel"/>
    <w:tmpl w:val="411AD7A4"/>
    <w:lvl w:ilvl="0" w:tplc="89B462D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63DA6"/>
    <w:multiLevelType w:val="hybridMultilevel"/>
    <w:tmpl w:val="9844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6B0412"/>
    <w:multiLevelType w:val="hybridMultilevel"/>
    <w:tmpl w:val="8CE818F8"/>
    <w:lvl w:ilvl="0" w:tplc="DC00710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FC55625"/>
    <w:multiLevelType w:val="hybridMultilevel"/>
    <w:tmpl w:val="4F562A2E"/>
    <w:lvl w:ilvl="0" w:tplc="DFF2F09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 w:numId="13">
    <w:abstractNumId w:val="14"/>
  </w:num>
  <w:num w:numId="14">
    <w:abstractNumId w:val="23"/>
  </w:num>
  <w:num w:numId="15">
    <w:abstractNumId w:val="11"/>
  </w:num>
  <w:num w:numId="16">
    <w:abstractNumId w:val="21"/>
  </w:num>
  <w:num w:numId="17">
    <w:abstractNumId w:val="19"/>
  </w:num>
  <w:num w:numId="18">
    <w:abstractNumId w:val="16"/>
  </w:num>
  <w:num w:numId="19">
    <w:abstractNumId w:val="10"/>
  </w:num>
  <w:num w:numId="20">
    <w:abstractNumId w:val="18"/>
  </w:num>
  <w:num w:numId="21">
    <w:abstractNumId w:val="18"/>
    <w:lvlOverride w:ilvl="0">
      <w:startOverride w:val="1"/>
    </w:lvlOverride>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fill="f" fillcolor="white">
      <v:fill color="white" on="f"/>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467E2"/>
    <w:rsid w:val="000619E7"/>
    <w:rsid w:val="00063A3E"/>
    <w:rsid w:val="00072CAC"/>
    <w:rsid w:val="0007681A"/>
    <w:rsid w:val="000A542E"/>
    <w:rsid w:val="000B1E3E"/>
    <w:rsid w:val="000B2637"/>
    <w:rsid w:val="00102B6B"/>
    <w:rsid w:val="001052D4"/>
    <w:rsid w:val="0010644B"/>
    <w:rsid w:val="001207F8"/>
    <w:rsid w:val="00121924"/>
    <w:rsid w:val="001279A8"/>
    <w:rsid w:val="0014195F"/>
    <w:rsid w:val="00152609"/>
    <w:rsid w:val="00153E1B"/>
    <w:rsid w:val="001A0623"/>
    <w:rsid w:val="001B3A51"/>
    <w:rsid w:val="001C23B0"/>
    <w:rsid w:val="001D2ADB"/>
    <w:rsid w:val="001D7AAF"/>
    <w:rsid w:val="001F4276"/>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2A1A"/>
    <w:rsid w:val="003232A2"/>
    <w:rsid w:val="00325C14"/>
    <w:rsid w:val="0034524B"/>
    <w:rsid w:val="00346E4A"/>
    <w:rsid w:val="00357F15"/>
    <w:rsid w:val="0036422C"/>
    <w:rsid w:val="003710F6"/>
    <w:rsid w:val="00386E88"/>
    <w:rsid w:val="00396585"/>
    <w:rsid w:val="003D6E38"/>
    <w:rsid w:val="003D74A0"/>
    <w:rsid w:val="004033D8"/>
    <w:rsid w:val="004073F0"/>
    <w:rsid w:val="00412A7D"/>
    <w:rsid w:val="00412D35"/>
    <w:rsid w:val="004134F6"/>
    <w:rsid w:val="00416B4D"/>
    <w:rsid w:val="00417CFC"/>
    <w:rsid w:val="004A06DC"/>
    <w:rsid w:val="004B24ED"/>
    <w:rsid w:val="004B2C6F"/>
    <w:rsid w:val="004B6625"/>
    <w:rsid w:val="004D2D82"/>
    <w:rsid w:val="004D3876"/>
    <w:rsid w:val="004E4552"/>
    <w:rsid w:val="004E68EE"/>
    <w:rsid w:val="004E6CDF"/>
    <w:rsid w:val="00512991"/>
    <w:rsid w:val="00543C2E"/>
    <w:rsid w:val="00553C9D"/>
    <w:rsid w:val="00562A66"/>
    <w:rsid w:val="005A3A02"/>
    <w:rsid w:val="005B064E"/>
    <w:rsid w:val="005D51AE"/>
    <w:rsid w:val="00612079"/>
    <w:rsid w:val="00617D42"/>
    <w:rsid w:val="0062674B"/>
    <w:rsid w:val="006363B2"/>
    <w:rsid w:val="00644940"/>
    <w:rsid w:val="0065553C"/>
    <w:rsid w:val="006818A9"/>
    <w:rsid w:val="006A2D81"/>
    <w:rsid w:val="006C1D0D"/>
    <w:rsid w:val="0070601E"/>
    <w:rsid w:val="00712C72"/>
    <w:rsid w:val="00735256"/>
    <w:rsid w:val="00735FE9"/>
    <w:rsid w:val="00763CAA"/>
    <w:rsid w:val="00765F66"/>
    <w:rsid w:val="0078664F"/>
    <w:rsid w:val="007A27CE"/>
    <w:rsid w:val="007C3FA6"/>
    <w:rsid w:val="007D585A"/>
    <w:rsid w:val="007D5A12"/>
    <w:rsid w:val="007E59F9"/>
    <w:rsid w:val="007E6722"/>
    <w:rsid w:val="007F1149"/>
    <w:rsid w:val="00810BCD"/>
    <w:rsid w:val="00812C98"/>
    <w:rsid w:val="00814D92"/>
    <w:rsid w:val="00830299"/>
    <w:rsid w:val="0083181D"/>
    <w:rsid w:val="00843EB2"/>
    <w:rsid w:val="00865572"/>
    <w:rsid w:val="00870D9C"/>
    <w:rsid w:val="00874BBC"/>
    <w:rsid w:val="00892135"/>
    <w:rsid w:val="00895449"/>
    <w:rsid w:val="00897879"/>
    <w:rsid w:val="008A6870"/>
    <w:rsid w:val="008B0BF4"/>
    <w:rsid w:val="008C2DDC"/>
    <w:rsid w:val="008C7516"/>
    <w:rsid w:val="008E6EC7"/>
    <w:rsid w:val="008F0D63"/>
    <w:rsid w:val="008F1308"/>
    <w:rsid w:val="008F24C7"/>
    <w:rsid w:val="008F2C35"/>
    <w:rsid w:val="008F6665"/>
    <w:rsid w:val="00904591"/>
    <w:rsid w:val="00905E5F"/>
    <w:rsid w:val="009114A2"/>
    <w:rsid w:val="0091204F"/>
    <w:rsid w:val="009203DB"/>
    <w:rsid w:val="00923CD4"/>
    <w:rsid w:val="00930EFE"/>
    <w:rsid w:val="00943386"/>
    <w:rsid w:val="009456B6"/>
    <w:rsid w:val="00957589"/>
    <w:rsid w:val="00966D06"/>
    <w:rsid w:val="00982412"/>
    <w:rsid w:val="00983A8D"/>
    <w:rsid w:val="009A0DB8"/>
    <w:rsid w:val="009A7257"/>
    <w:rsid w:val="009C46DF"/>
    <w:rsid w:val="009D6E0A"/>
    <w:rsid w:val="009E1E33"/>
    <w:rsid w:val="00A065F6"/>
    <w:rsid w:val="00A14672"/>
    <w:rsid w:val="00A26BD6"/>
    <w:rsid w:val="00A40F80"/>
    <w:rsid w:val="00A443CF"/>
    <w:rsid w:val="00A6611D"/>
    <w:rsid w:val="00A82CB7"/>
    <w:rsid w:val="00A942C1"/>
    <w:rsid w:val="00AA2F03"/>
    <w:rsid w:val="00AC36F7"/>
    <w:rsid w:val="00AC63A4"/>
    <w:rsid w:val="00AD239E"/>
    <w:rsid w:val="00AF2B8E"/>
    <w:rsid w:val="00B10265"/>
    <w:rsid w:val="00B16A99"/>
    <w:rsid w:val="00B21211"/>
    <w:rsid w:val="00B35784"/>
    <w:rsid w:val="00B37321"/>
    <w:rsid w:val="00B733A7"/>
    <w:rsid w:val="00B75C91"/>
    <w:rsid w:val="00B975AD"/>
    <w:rsid w:val="00BC45FB"/>
    <w:rsid w:val="00BF0F0E"/>
    <w:rsid w:val="00BF148D"/>
    <w:rsid w:val="00C23B1A"/>
    <w:rsid w:val="00C310EB"/>
    <w:rsid w:val="00C47518"/>
    <w:rsid w:val="00C56649"/>
    <w:rsid w:val="00C9176A"/>
    <w:rsid w:val="00CF1AA2"/>
    <w:rsid w:val="00D142D3"/>
    <w:rsid w:val="00D17774"/>
    <w:rsid w:val="00D63620"/>
    <w:rsid w:val="00D71BF9"/>
    <w:rsid w:val="00D8410D"/>
    <w:rsid w:val="00D867D7"/>
    <w:rsid w:val="00DB7060"/>
    <w:rsid w:val="00DE1203"/>
    <w:rsid w:val="00DE3153"/>
    <w:rsid w:val="00E06736"/>
    <w:rsid w:val="00E13C27"/>
    <w:rsid w:val="00E33BBD"/>
    <w:rsid w:val="00E374F2"/>
    <w:rsid w:val="00E45103"/>
    <w:rsid w:val="00E55A60"/>
    <w:rsid w:val="00E62778"/>
    <w:rsid w:val="00E635A2"/>
    <w:rsid w:val="00E63D38"/>
    <w:rsid w:val="00E665B9"/>
    <w:rsid w:val="00EA01E6"/>
    <w:rsid w:val="00EA3DE8"/>
    <w:rsid w:val="00EA409C"/>
    <w:rsid w:val="00EA758F"/>
    <w:rsid w:val="00ED4A6F"/>
    <w:rsid w:val="00EE7F2E"/>
    <w:rsid w:val="00EF3A3A"/>
    <w:rsid w:val="00F628D6"/>
    <w:rsid w:val="00F67051"/>
    <w:rsid w:val="00F86A1E"/>
    <w:rsid w:val="00FA5E88"/>
    <w:rsid w:val="00FC49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shapedefaults>
    <o:shapelayout v:ext="edit">
      <o:idmap v:ext="edit" data="1"/>
    </o:shapelayout>
  </w:shapeDefaults>
  <w:doNotEmbedSmartTags/>
  <w:decimalSymbol w:val="."/>
  <w:listSeparator w:val=","/>
  <w14:docId w14:val="7F6961A1"/>
  <w15:docId w15:val="{D734EDCE-0852-4431-B4DC-F2B758CD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F80"/>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A40F80"/>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A40F80"/>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A40F80"/>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A40F80"/>
    <w:pPr>
      <w:numPr>
        <w:numId w:val="23"/>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A40F80"/>
    <w:pPr>
      <w:spacing w:line="259" w:lineRule="auto"/>
      <w:outlineLvl w:val="4"/>
    </w:pPr>
    <w:rPr>
      <w:color w:val="000000" w:themeColor="text1"/>
    </w:rPr>
  </w:style>
  <w:style w:type="character" w:default="1" w:styleId="a0">
    <w:name w:val="Default Paragraph Font"/>
    <w:uiPriority w:val="1"/>
    <w:semiHidden/>
    <w:unhideWhenUsed/>
    <w:rsid w:val="00A40F8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40F80"/>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A40F80"/>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A40F80"/>
    <w:rPr>
      <w:sz w:val="36"/>
      <w:szCs w:val="52"/>
    </w:rPr>
  </w:style>
  <w:style w:type="paragraph" w:customStyle="1" w:styleId="Cover3-Haknesset">
    <w:name w:val="Cover 3-Haknesset"/>
    <w:basedOn w:val="Cover1-Reshumot"/>
    <w:rsid w:val="00A40F80"/>
    <w:rPr>
      <w:b/>
      <w:bCs/>
      <w:spacing w:val="60"/>
    </w:rPr>
  </w:style>
  <w:style w:type="paragraph" w:customStyle="1" w:styleId="Cover4-Date">
    <w:name w:val="Cover 4-Date"/>
    <w:basedOn w:val="a"/>
    <w:rsid w:val="00A40F80"/>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A40F80"/>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A40F80"/>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A40F80"/>
    <w:pPr>
      <w:spacing w:before="120" w:after="120"/>
    </w:pPr>
    <w:rPr>
      <w:color w:val="FF0000"/>
      <w:w w:val="80"/>
    </w:rPr>
  </w:style>
  <w:style w:type="paragraph" w:styleId="a3">
    <w:name w:val="endnote text"/>
    <w:basedOn w:val="a"/>
    <w:semiHidden/>
    <w:rsid w:val="00A40F80"/>
    <w:pPr>
      <w:ind w:left="227" w:hanging="227"/>
    </w:pPr>
    <w:rPr>
      <w:sz w:val="14"/>
      <w:szCs w:val="22"/>
    </w:rPr>
  </w:style>
  <w:style w:type="paragraph" w:customStyle="1" w:styleId="TableText">
    <w:name w:val="Table Text"/>
    <w:basedOn w:val="a"/>
    <w:rsid w:val="00A40F80"/>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A40F80"/>
    <w:pPr>
      <w:outlineLvl w:val="2"/>
    </w:pPr>
  </w:style>
  <w:style w:type="paragraph" w:customStyle="1" w:styleId="TableBlock">
    <w:name w:val="Table Block"/>
    <w:basedOn w:val="TableText"/>
    <w:rsid w:val="00A40F80"/>
    <w:pPr>
      <w:jc w:val="both"/>
    </w:pPr>
  </w:style>
  <w:style w:type="paragraph" w:customStyle="1" w:styleId="TableHead">
    <w:name w:val="Table Head"/>
    <w:basedOn w:val="TableText"/>
    <w:rsid w:val="00A40F80"/>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A40F80"/>
    <w:pPr>
      <w:outlineLvl w:val="9"/>
    </w:pPr>
  </w:style>
  <w:style w:type="paragraph" w:customStyle="1" w:styleId="Hesber">
    <w:name w:val="Hesber"/>
    <w:basedOn w:val="a"/>
    <w:rsid w:val="00A40F80"/>
    <w:pPr>
      <w:snapToGrid w:val="0"/>
      <w:ind w:left="0" w:firstLine="340"/>
    </w:pPr>
    <w:rPr>
      <w:rFonts w:ascii="Arial" w:eastAsia="Arial Unicode MS" w:hAnsi="Arial"/>
      <w:snapToGrid w:val="0"/>
      <w:sz w:val="20"/>
      <w:szCs w:val="26"/>
    </w:rPr>
  </w:style>
  <w:style w:type="paragraph" w:styleId="a4">
    <w:name w:val="footnote text"/>
    <w:basedOn w:val="a"/>
    <w:link w:val="a5"/>
    <w:autoRedefine/>
    <w:semiHidden/>
    <w:rsid w:val="00A40F80"/>
    <w:pPr>
      <w:snapToGrid w:val="0"/>
      <w:spacing w:line="240" w:lineRule="auto"/>
      <w:ind w:left="0"/>
      <w:jc w:val="left"/>
    </w:pPr>
    <w:rPr>
      <w:rFonts w:ascii="Arial" w:eastAsia="Arial Unicode MS" w:hAnsi="Arial"/>
      <w:snapToGrid w:val="0"/>
      <w:sz w:val="14"/>
      <w:szCs w:val="20"/>
    </w:rPr>
  </w:style>
  <w:style w:type="character" w:styleId="a6">
    <w:name w:val="footnote reference"/>
    <w:aliases w:val="Footnote Reference"/>
    <w:basedOn w:val="a0"/>
    <w:semiHidden/>
    <w:rsid w:val="00A40F80"/>
    <w:rPr>
      <w:vertAlign w:val="superscript"/>
    </w:rPr>
  </w:style>
  <w:style w:type="paragraph" w:customStyle="1" w:styleId="HesberHeading">
    <w:name w:val="Hesber Heading"/>
    <w:basedOn w:val="Hesber"/>
    <w:rsid w:val="00A40F80"/>
    <w:pPr>
      <w:tabs>
        <w:tab w:val="left" w:pos="624"/>
        <w:tab w:val="left" w:pos="1247"/>
      </w:tabs>
    </w:pPr>
    <w:rPr>
      <w:b/>
      <w:bCs/>
    </w:rPr>
  </w:style>
  <w:style w:type="paragraph" w:customStyle="1" w:styleId="HesberWriters">
    <w:name w:val="Hesber Writers"/>
    <w:basedOn w:val="Hesber"/>
    <w:rsid w:val="00A40F80"/>
    <w:pPr>
      <w:spacing w:before="120" w:after="120"/>
      <w:ind w:left="1418"/>
      <w:jc w:val="right"/>
    </w:pPr>
    <w:rPr>
      <w:b/>
      <w:bCs/>
    </w:rPr>
  </w:style>
  <w:style w:type="paragraph" w:customStyle="1" w:styleId="Hesber1st">
    <w:name w:val="Hesber 1st"/>
    <w:basedOn w:val="Hesber"/>
    <w:rsid w:val="00A40F80"/>
    <w:pPr>
      <w:tabs>
        <w:tab w:val="left" w:pos="680"/>
        <w:tab w:val="left" w:pos="1020"/>
      </w:tabs>
      <w:ind w:firstLine="0"/>
    </w:pPr>
  </w:style>
  <w:style w:type="character" w:styleId="a7">
    <w:name w:val="endnote reference"/>
    <w:basedOn w:val="a0"/>
    <w:semiHidden/>
    <w:rsid w:val="00A40F80"/>
    <w:rPr>
      <w:vertAlign w:val="superscript"/>
    </w:rPr>
  </w:style>
  <w:style w:type="paragraph" w:customStyle="1" w:styleId="TableBlockOutdent">
    <w:name w:val="Table BlockOutdent"/>
    <w:basedOn w:val="TableBlock"/>
    <w:rsid w:val="00A40F80"/>
    <w:pPr>
      <w:ind w:left="624" w:hanging="624"/>
    </w:pPr>
  </w:style>
  <w:style w:type="paragraph" w:styleId="a8">
    <w:name w:val="header"/>
    <w:basedOn w:val="a"/>
    <w:rsid w:val="00A40F80"/>
    <w:pPr>
      <w:tabs>
        <w:tab w:val="center" w:pos="4153"/>
        <w:tab w:val="right" w:pos="8306"/>
      </w:tabs>
    </w:pPr>
  </w:style>
  <w:style w:type="paragraph" w:styleId="a9">
    <w:name w:val="footer"/>
    <w:basedOn w:val="a"/>
    <w:link w:val="aa"/>
    <w:rsid w:val="00A40F80"/>
    <w:pPr>
      <w:tabs>
        <w:tab w:val="center" w:pos="4153"/>
        <w:tab w:val="right" w:pos="8306"/>
      </w:tabs>
    </w:pPr>
  </w:style>
  <w:style w:type="paragraph" w:customStyle="1" w:styleId="HeadDivreiHesber">
    <w:name w:val="Head DivreiHesber"/>
    <w:basedOn w:val="a"/>
    <w:rsid w:val="00A40F80"/>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A40F80"/>
    <w:pPr>
      <w:snapToGrid w:val="0"/>
      <w:jc w:val="left"/>
    </w:pPr>
    <w:rPr>
      <w:rFonts w:ascii="Arial" w:eastAsia="Arial Unicode MS" w:hAnsi="Arial"/>
      <w:snapToGrid w:val="0"/>
      <w:sz w:val="20"/>
      <w:szCs w:val="26"/>
    </w:rPr>
  </w:style>
  <w:style w:type="paragraph" w:styleId="ab">
    <w:name w:val="Title"/>
    <w:basedOn w:val="a"/>
    <w:qFormat/>
    <w:rsid w:val="00943386"/>
    <w:pPr>
      <w:jc w:val="center"/>
    </w:pPr>
    <w:rPr>
      <w:b/>
      <w:bCs/>
      <w:sz w:val="28"/>
      <w:szCs w:val="28"/>
      <w:u w:val="single"/>
    </w:rPr>
  </w:style>
  <w:style w:type="character" w:styleId="ac">
    <w:name w:val="page number"/>
    <w:basedOn w:val="a0"/>
    <w:rsid w:val="00A40F80"/>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d">
    <w:name w:val="Balloon Text"/>
    <w:basedOn w:val="a"/>
    <w:link w:val="ae"/>
    <w:semiHidden/>
    <w:unhideWhenUsed/>
    <w:rsid w:val="00325C14"/>
    <w:pPr>
      <w:spacing w:line="240" w:lineRule="auto"/>
    </w:pPr>
    <w:rPr>
      <w:rFonts w:ascii="Tahoma" w:hAnsi="Tahoma" w:cs="Tahoma"/>
      <w:sz w:val="16"/>
      <w:szCs w:val="16"/>
    </w:rPr>
  </w:style>
  <w:style w:type="character" w:customStyle="1" w:styleId="ae">
    <w:name w:val="טקסט בלונים תו"/>
    <w:basedOn w:val="a0"/>
    <w:link w:val="ad"/>
    <w:semiHidden/>
    <w:rsid w:val="00325C14"/>
    <w:rPr>
      <w:rFonts w:ascii="Tahoma" w:hAnsi="Tahoma" w:cs="Tahoma"/>
      <w:color w:val="000000"/>
      <w:spacing w:val="1"/>
      <w:sz w:val="16"/>
      <w:szCs w:val="16"/>
      <w:lang w:eastAsia="ja-JP"/>
    </w:rPr>
  </w:style>
  <w:style w:type="paragraph" w:styleId="af">
    <w:name w:val="List Paragraph"/>
    <w:basedOn w:val="a"/>
    <w:uiPriority w:val="34"/>
    <w:qFormat/>
    <w:rsid w:val="00A40F80"/>
    <w:pPr>
      <w:widowControl/>
      <w:spacing w:line="259" w:lineRule="auto"/>
    </w:pPr>
    <w:rPr>
      <w:rFonts w:asciiTheme="minorHAnsi" w:hAnsiTheme="minorHAnsi"/>
      <w:sz w:val="22"/>
    </w:rPr>
  </w:style>
  <w:style w:type="character" w:customStyle="1" w:styleId="aa">
    <w:name w:val="כותרת תחתונה תו"/>
    <w:basedOn w:val="a0"/>
    <w:link w:val="a9"/>
    <w:rsid w:val="00512991"/>
    <w:rPr>
      <w:rFonts w:ascii="David" w:eastAsiaTheme="minorHAnsi" w:hAnsi="David" w:cs="David"/>
      <w:sz w:val="24"/>
      <w:szCs w:val="24"/>
    </w:rPr>
  </w:style>
  <w:style w:type="character" w:styleId="af0">
    <w:name w:val="annotation reference"/>
    <w:basedOn w:val="a0"/>
    <w:semiHidden/>
    <w:unhideWhenUsed/>
    <w:rsid w:val="00512991"/>
    <w:rPr>
      <w:sz w:val="16"/>
      <w:szCs w:val="16"/>
    </w:rPr>
  </w:style>
  <w:style w:type="paragraph" w:styleId="af1">
    <w:name w:val="annotation text"/>
    <w:basedOn w:val="a"/>
    <w:link w:val="af2"/>
    <w:semiHidden/>
    <w:unhideWhenUsed/>
    <w:rsid w:val="00512991"/>
    <w:pPr>
      <w:spacing w:line="240" w:lineRule="auto"/>
    </w:pPr>
    <w:rPr>
      <w:sz w:val="20"/>
      <w:szCs w:val="20"/>
    </w:rPr>
  </w:style>
  <w:style w:type="character" w:customStyle="1" w:styleId="af2">
    <w:name w:val="טקסט הערה תו"/>
    <w:basedOn w:val="a0"/>
    <w:link w:val="af1"/>
    <w:semiHidden/>
    <w:rsid w:val="00512991"/>
    <w:rPr>
      <w:rFonts w:ascii="Hadasa Roso SL" w:hAnsi="Hadasa Roso SL" w:cs="Hadasa Roso SL"/>
      <w:color w:val="000000"/>
      <w:spacing w:val="1"/>
      <w:lang w:eastAsia="ja-JP"/>
    </w:rPr>
  </w:style>
  <w:style w:type="paragraph" w:styleId="af3">
    <w:name w:val="annotation subject"/>
    <w:basedOn w:val="af1"/>
    <w:next w:val="af1"/>
    <w:link w:val="af4"/>
    <w:semiHidden/>
    <w:unhideWhenUsed/>
    <w:rsid w:val="00512991"/>
    <w:rPr>
      <w:b/>
      <w:bCs/>
    </w:rPr>
  </w:style>
  <w:style w:type="character" w:customStyle="1" w:styleId="af4">
    <w:name w:val="נושא הערה תו"/>
    <w:basedOn w:val="af2"/>
    <w:link w:val="af3"/>
    <w:semiHidden/>
    <w:rsid w:val="00512991"/>
    <w:rPr>
      <w:rFonts w:ascii="Hadasa Roso SL" w:hAnsi="Hadasa Roso SL" w:cs="Hadasa Roso SL"/>
      <w:b/>
      <w:bCs/>
      <w:color w:val="000000"/>
      <w:spacing w:val="1"/>
      <w:lang w:eastAsia="ja-JP"/>
    </w:rPr>
  </w:style>
  <w:style w:type="character" w:customStyle="1" w:styleId="a5">
    <w:name w:val="טקסט הערת שוליים תו"/>
    <w:basedOn w:val="a0"/>
    <w:link w:val="a4"/>
    <w:semiHidden/>
    <w:rsid w:val="00512991"/>
    <w:rPr>
      <w:rFonts w:ascii="Arial" w:eastAsia="Arial Unicode MS" w:hAnsi="Arial" w:cs="David"/>
      <w:snapToGrid w:val="0"/>
      <w:sz w:val="14"/>
    </w:rPr>
  </w:style>
  <w:style w:type="character" w:customStyle="1" w:styleId="10">
    <w:name w:val="כותרת 1 תו"/>
    <w:basedOn w:val="a0"/>
    <w:link w:val="1"/>
    <w:uiPriority w:val="9"/>
    <w:rsid w:val="00A40F80"/>
    <w:rPr>
      <w:rFonts w:asciiTheme="majorHAnsi" w:eastAsiaTheme="majorEastAsia" w:hAnsiTheme="majorHAnsi" w:cs="David"/>
      <w:bCs/>
      <w:sz w:val="32"/>
      <w:szCs w:val="36"/>
    </w:rPr>
  </w:style>
  <w:style w:type="character" w:customStyle="1" w:styleId="20">
    <w:name w:val="כותרת 2 תו"/>
    <w:basedOn w:val="a0"/>
    <w:link w:val="2"/>
    <w:rsid w:val="00A40F80"/>
    <w:rPr>
      <w:rFonts w:asciiTheme="majorHAnsi" w:eastAsiaTheme="majorEastAsia" w:hAnsiTheme="majorHAnsi" w:cs="David"/>
      <w:bCs/>
      <w:sz w:val="26"/>
      <w:szCs w:val="36"/>
      <w:u w:val="single"/>
    </w:rPr>
  </w:style>
  <w:style w:type="character" w:customStyle="1" w:styleId="30">
    <w:name w:val="כותרת 3 תו"/>
    <w:basedOn w:val="a0"/>
    <w:link w:val="3"/>
    <w:rsid w:val="00A40F80"/>
    <w:rPr>
      <w:rFonts w:asciiTheme="majorHAnsi" w:eastAsiaTheme="majorEastAsia" w:hAnsiTheme="majorHAnsi" w:cs="David"/>
      <w:sz w:val="24"/>
      <w:szCs w:val="28"/>
      <w:u w:val="double"/>
    </w:rPr>
  </w:style>
  <w:style w:type="character" w:customStyle="1" w:styleId="40">
    <w:name w:val="כותרת 4 תו"/>
    <w:basedOn w:val="a0"/>
    <w:link w:val="4"/>
    <w:uiPriority w:val="9"/>
    <w:rsid w:val="00A40F80"/>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A40F80"/>
    <w:rPr>
      <w:rFonts w:ascii="David" w:eastAsiaTheme="minorHAnsi" w:hAnsi="David" w:cs="David"/>
      <w:color w:val="000000" w:themeColor="text1"/>
      <w:sz w:val="24"/>
      <w:szCs w:val="24"/>
    </w:rPr>
  </w:style>
  <w:style w:type="paragraph" w:styleId="af5">
    <w:name w:val="TOC Heading"/>
    <w:basedOn w:val="1"/>
    <w:next w:val="a"/>
    <w:uiPriority w:val="39"/>
    <w:unhideWhenUsed/>
    <w:qFormat/>
    <w:rsid w:val="00A40F80"/>
    <w:pPr>
      <w:widowControl/>
      <w:spacing w:before="120" w:after="120"/>
      <w:outlineLvl w:val="9"/>
    </w:pPr>
    <w:rPr>
      <w:rtl/>
      <w:cs/>
    </w:rPr>
  </w:style>
  <w:style w:type="paragraph" w:styleId="TOC1">
    <w:name w:val="toc 1"/>
    <w:basedOn w:val="a"/>
    <w:next w:val="a"/>
    <w:autoRedefine/>
    <w:uiPriority w:val="39"/>
    <w:unhideWhenUsed/>
    <w:rsid w:val="00A40F80"/>
    <w:pPr>
      <w:tabs>
        <w:tab w:val="right" w:leader="dot" w:pos="9629"/>
      </w:tabs>
      <w:spacing w:after="100"/>
    </w:pPr>
    <w:rPr>
      <w:bCs/>
      <w:szCs w:val="22"/>
    </w:rPr>
  </w:style>
  <w:style w:type="paragraph" w:styleId="TOC2">
    <w:name w:val="toc 2"/>
    <w:basedOn w:val="a"/>
    <w:next w:val="a"/>
    <w:uiPriority w:val="39"/>
    <w:unhideWhenUsed/>
    <w:rsid w:val="00A40F80"/>
    <w:pPr>
      <w:tabs>
        <w:tab w:val="right" w:leader="dot" w:pos="9628"/>
      </w:tabs>
      <w:spacing w:after="100"/>
    </w:pPr>
    <w:rPr>
      <w:szCs w:val="22"/>
    </w:rPr>
  </w:style>
  <w:style w:type="character" w:styleId="Hyperlink">
    <w:name w:val="Hyperlink"/>
    <w:basedOn w:val="a0"/>
    <w:uiPriority w:val="99"/>
    <w:unhideWhenUsed/>
    <w:rsid w:val="00A40F80"/>
    <w:rPr>
      <w:color w:val="0000FF" w:themeColor="hyperlink"/>
      <w:u w:val="single"/>
    </w:rPr>
  </w:style>
  <w:style w:type="paragraph" w:styleId="TOC3">
    <w:name w:val="toc 3"/>
    <w:basedOn w:val="a"/>
    <w:next w:val="a"/>
    <w:uiPriority w:val="39"/>
    <w:unhideWhenUsed/>
    <w:rsid w:val="00A40F80"/>
    <w:pPr>
      <w:numPr>
        <w:numId w:val="26"/>
      </w:numPr>
      <w:tabs>
        <w:tab w:val="right" w:leader="dot" w:pos="9629"/>
      </w:tabs>
      <w:spacing w:after="100"/>
      <w:ind w:left="811" w:hanging="357"/>
    </w:pPr>
    <w:rPr>
      <w:szCs w:val="22"/>
    </w:rPr>
  </w:style>
  <w:style w:type="paragraph" w:styleId="TOC4">
    <w:name w:val="toc 4"/>
    <w:basedOn w:val="a"/>
    <w:next w:val="a"/>
    <w:autoRedefine/>
    <w:unhideWhenUsed/>
    <w:qFormat/>
    <w:rsid w:val="00A40F80"/>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A40F80"/>
    <w:pPr>
      <w:tabs>
        <w:tab w:val="right" w:leader="dot" w:pos="9628"/>
      </w:tabs>
      <w:spacing w:after="100"/>
      <w:ind w:left="567"/>
    </w:pPr>
    <w:rPr>
      <w:szCs w:val="22"/>
    </w:rPr>
  </w:style>
  <w:style w:type="paragraph" w:styleId="TOC6">
    <w:name w:val="toc 6"/>
    <w:basedOn w:val="a"/>
    <w:next w:val="a"/>
    <w:autoRedefine/>
    <w:semiHidden/>
    <w:unhideWhenUsed/>
    <w:rsid w:val="00A40F80"/>
    <w:pPr>
      <w:spacing w:after="100"/>
      <w:ind w:left="850"/>
    </w:pPr>
  </w:style>
  <w:style w:type="paragraph" w:styleId="TOC7">
    <w:name w:val="toc 7"/>
    <w:basedOn w:val="a"/>
    <w:next w:val="a"/>
    <w:autoRedefine/>
    <w:semiHidden/>
    <w:unhideWhenUsed/>
    <w:rsid w:val="00A40F80"/>
    <w:pPr>
      <w:spacing w:after="100"/>
      <w:ind w:left="1020"/>
    </w:pPr>
  </w:style>
  <w:style w:type="paragraph" w:styleId="TOC8">
    <w:name w:val="toc 8"/>
    <w:basedOn w:val="a"/>
    <w:next w:val="a"/>
    <w:autoRedefine/>
    <w:semiHidden/>
    <w:unhideWhenUsed/>
    <w:rsid w:val="00A40F80"/>
    <w:pPr>
      <w:spacing w:after="100"/>
      <w:ind w:left="1190"/>
    </w:pPr>
  </w:style>
  <w:style w:type="paragraph" w:styleId="TOC9">
    <w:name w:val="toc 9"/>
    <w:basedOn w:val="a"/>
    <w:next w:val="a"/>
    <w:autoRedefine/>
    <w:semiHidden/>
    <w:unhideWhenUsed/>
    <w:rsid w:val="00A40F80"/>
    <w:pPr>
      <w:spacing w:after="100"/>
      <w:ind w:left="1360"/>
    </w:pPr>
  </w:style>
  <w:style w:type="paragraph" w:customStyle="1" w:styleId="TableHead2">
    <w:name w:val="Table Head2"/>
    <w:basedOn w:val="TableHead"/>
    <w:qFormat/>
    <w:rsid w:val="00A40F80"/>
    <w:pPr>
      <w:outlineLvl w:val="9"/>
    </w:pPr>
  </w:style>
  <w:style w:type="paragraph" w:customStyle="1" w:styleId="TableSideHeading2">
    <w:name w:val="Table SideHeading2"/>
    <w:basedOn w:val="TableSideHeading"/>
    <w:autoRedefine/>
    <w:qFormat/>
    <w:rsid w:val="00A40F80"/>
    <w:pPr>
      <w:keepLines w:val="0"/>
      <w:outlineLvl w:val="9"/>
    </w:pPr>
  </w:style>
  <w:style w:type="paragraph" w:customStyle="1" w:styleId="0">
    <w:name w:val="סגנון שורה ראשונה:  0  ס''מ"/>
    <w:basedOn w:val="2"/>
    <w:rsid w:val="00A40F80"/>
    <w:rPr>
      <w:rFonts w:eastAsia="Times New Roman"/>
    </w:rPr>
  </w:style>
  <w:style w:type="table" w:styleId="af6">
    <w:name w:val="Table Grid"/>
    <w:basedOn w:val="a1"/>
    <w:rsid w:val="00A40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A40F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A40F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7">
    <w:name w:val="טבלת חקיקה"/>
    <w:basedOn w:val="a1"/>
    <w:uiPriority w:val="99"/>
    <w:rsid w:val="00A40F80"/>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A40F80"/>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ABE13442BF316646AF5951F2A6F4E844" ma:contentTypeVersion="" ma:contentTypeDescription="צור מסמך חדש." ma:contentTypeScope="" ma:versionID="3e09f08e861ef8c9ca8a66bc33319a22">
  <xsd:schema xmlns:xsd="http://www.w3.org/2001/XMLSchema" xmlns:xs="http://www.w3.org/2001/XMLSchema" xmlns:p="http://schemas.microsoft.com/office/2006/metadata/properties" xmlns:ns2="290d5b49-c690-4c6f-bbb9-1e50dab33eee" targetNamespace="http://schemas.microsoft.com/office/2006/metadata/properties" ma:root="true" ma:fieldsID="d7dd2f529bbe50785394ddfd47ca1ac1"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290d5b49-c690-4c6f-bbb9-1e50dab33eee"/>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AFA2C07-7453-4E15-9369-7AF955D6E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917792F1-A2AE-4F01-8B77-88537998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1016</Words>
  <Characters>5796</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39</cp:revision>
  <cp:lastPrinted>2021-06-21T06:22:00Z</cp:lastPrinted>
  <dcterms:created xsi:type="dcterms:W3CDTF">2015-04-20T09:58:00Z</dcterms:created>
  <dcterms:modified xsi:type="dcterms:W3CDTF">2021-06-21T06:40:00Z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0x010100ABE13442BF316646AF5951F2A6F4E844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2159382</vt:r8>
  </property>
</Properties>
</file>