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E635A2" w:rsidRDefault="004033D8" w:rsidP="00E635A2">
      <w:pPr>
        <w:jc w:val="right"/>
        <w:rPr>
          <w:rFonts w:cs="David"/>
          <w:b/>
          <w:bCs/>
          <w:sz w:val="20"/>
          <w:szCs w:val="20"/>
        </w:rPr>
      </w:pPr>
      <w:r w:rsidRPr="00E635A2">
        <w:rPr>
          <w:rFonts w:cs="David" w:hint="cs"/>
          <w:sz w:val="20"/>
          <w:szCs w:val="20"/>
          <w:rtl/>
        </w:rPr>
        <w:t xml:space="preserve">מספר פנימי: </w:t>
      </w:r>
      <w:bookmarkStart w:id="0" w:name="LGS_Internal_ID"/>
      <w:r>
        <w:rPr>
          <w:rFonts w:cs="David" w:hint="cs"/>
          <w:sz w:val="20"/>
          <w:szCs w:val="20"/>
          <w:rtl/>
        </w:rPr>
        <w:t>2079231</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 ואחת</w:t>
      </w:r>
      <w:bookmarkEnd w:id="1"/>
    </w:p>
    <w:p w14:paraId="7F6961A3" w14:textId="77777777" w:rsidR="00E13C27" w:rsidRPr="00F67051" w:rsidRDefault="00E13C27" w:rsidP="00E13C27">
      <w:pPr>
        <w:rPr>
          <w:rFonts w:cs="David"/>
          <w:b/>
          <w:bCs/>
          <w:sz w:val="26"/>
          <w:szCs w:val="26"/>
          <w:rtl/>
        </w:rPr>
      </w:pPr>
    </w:p>
    <w:p w14:paraId="7F6961A6" w14:textId="77777777" w:rsidR="00E13C27" w:rsidRDefault="008F6665" w:rsidP="00930EFE">
      <w:pPr>
        <w:pStyle w:val="David"/>
        <w:spacing w:line="360" w:lineRule="auto"/>
        <w:ind w:left="3544"/>
        <w:rPr>
          <w:b/>
          <w:bCs/>
          <w:rtl/>
        </w:rPr>
      </w:pPr>
      <w:bookmarkStart w:id="2" w:name="LGS_Initiators_List"/>
      <w:r>
        <w:rPr>
          <w:b/>
          <w:bCs/>
          <w:rtl/>
        </w:rPr>
        <w:t>יוזם:</w:t>
      </w:r>
      <w:r>
        <w:tab/>
      </w:r>
      <w:r>
        <w:rPr>
          <w:b/>
          <w:bCs/>
          <w:rtl/>
        </w:rPr>
        <w:t xml:space="preserve">      חבר הכנסת</w:t>
      </w:r>
      <w:bookmarkEnd w:id="2"/>
      <w:r w:rsidR="00B35784" w:rsidRPr="00F67051">
        <w:rPr>
          <w:b/>
          <w:bCs/>
        </w:rPr>
        <w:tab/>
      </w:r>
      <w:bookmarkStart w:id="3" w:name="LGS_PM_Names"/>
      <w:r>
        <w:rPr>
          <w:rFonts w:hint="cs"/>
          <w:b/>
          <w:bCs/>
          <w:rtl/>
        </w:rPr>
        <w:t xml:space="preserve">רועי </w:t>
      </w:r>
      <w:proofErr w:type="spellStart"/>
      <w:r>
        <w:rPr>
          <w:rFonts w:hint="cs"/>
          <w:b/>
          <w:bCs/>
          <w:rtl/>
        </w:rPr>
        <w:t>פולקמן</w:t>
      </w:r>
      <w:bookmarkEnd w:id="3"/>
      <w:proofErr w:type="spellEnd"/>
    </w:p>
    <w:p w14:paraId="7F6961AA" w14:textId="39F9D96B" w:rsidR="00E13C27" w:rsidRPr="00CF1AA2" w:rsidRDefault="007D585A" w:rsidP="0036422C">
      <w:pPr>
        <w:pStyle w:val="David"/>
        <w:spacing w:before="0" w:line="360" w:lineRule="auto"/>
        <w:ind w:left="3544"/>
        <w:rPr>
          <w:b/>
          <w:bCs/>
          <w:sz w:val="16"/>
          <w:szCs w:val="16"/>
          <w:rtl/>
        </w:rPr>
      </w:pPr>
      <w:bookmarkStart w:id="4" w:name="LGS_Join_List"/>
      <w:r>
        <w:rPr>
          <w:rtl/>
        </w:rPr>
        <w:t xml:space="preserve"> </w:t>
      </w:r>
      <w:bookmarkEnd w:id="4"/>
      <w:r w:rsidR="002200A1" w:rsidRPr="00CF1AA2">
        <w:rPr>
          <w:rFonts w:hint="cs"/>
          <w:rtl/>
        </w:rPr>
        <w:tab/>
      </w:r>
      <w:bookmarkStart w:id="5" w:name="LGS_PM_NamesJoin"/>
      <w:r>
        <w:rPr>
          <w:rFonts w:hint="cs"/>
          <w:rtl/>
        </w:rPr>
        <w:t xml:space="preserve"> </w:t>
      </w:r>
      <w:bookmarkEnd w:id="5"/>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256138AA" w:rsidR="00E13C27" w:rsidRPr="00E06736" w:rsidRDefault="00904591" w:rsidP="00904591">
      <w:pPr>
        <w:pStyle w:val="David"/>
        <w:spacing w:before="0" w:line="240" w:lineRule="auto"/>
        <w:ind w:left="3544"/>
        <w:rPr>
          <w:rtl/>
        </w:rPr>
      </w:pPr>
      <w:r>
        <w:t xml:space="preserve">                                            </w:t>
      </w:r>
      <w:r w:rsidR="008F1308">
        <w:t xml:space="preserve"> </w:t>
      </w:r>
      <w:bookmarkStart w:id="6" w:name="Private_Number"/>
      <w:r>
        <w:rPr>
          <w:rFonts w:hint="cs"/>
          <w:rtl/>
        </w:rPr>
        <w:t>פ/428/21</w:t>
      </w:r>
      <w:bookmarkEnd w:id="6"/>
    </w:p>
    <w:p w14:paraId="7F6961AD" w14:textId="77777777" w:rsidR="00E13C27" w:rsidRPr="00F67051" w:rsidRDefault="00A443CF" w:rsidP="0021633A">
      <w:pPr>
        <w:pStyle w:val="HeadHatzaotHok"/>
        <w:rPr>
          <w:rtl/>
        </w:rPr>
      </w:pPr>
      <w:bookmarkStart w:id="7" w:name="LGS_Subject"/>
      <w:r>
        <w:rPr>
          <w:rFonts w:hint="cs"/>
          <w:rtl/>
        </w:rPr>
        <w:t xml:space="preserve">הצעת חוק המקרקעין (תיקון – התקנת מעלית מטעמים מיוחדים), </w:t>
      </w:r>
      <w:proofErr w:type="spellStart"/>
      <w:r>
        <w:rPr>
          <w:rFonts w:hint="cs"/>
          <w:rtl/>
        </w:rPr>
        <w:t>התשע"ט</w:t>
      </w:r>
      <w:proofErr w:type="spellEnd"/>
      <w:r>
        <w:rPr>
          <w:rFonts w:hint="cs"/>
          <w:rtl/>
        </w:rPr>
        <w:t>–2019</w:t>
      </w:r>
      <w:bookmarkEnd w:id="7"/>
    </w:p>
    <w:tbl>
      <w:tblPr>
        <w:bidiVisual/>
        <w:tblW w:w="0" w:type="dxa"/>
        <w:tblLayout w:type="fixed"/>
        <w:tblCellMar>
          <w:top w:w="57" w:type="dxa"/>
          <w:left w:w="0" w:type="dxa"/>
          <w:bottom w:w="57" w:type="dxa"/>
          <w:right w:w="0" w:type="dxa"/>
        </w:tblCellMar>
        <w:tblLook w:val="04A0" w:firstRow="1" w:lastRow="0" w:firstColumn="1" w:lastColumn="0" w:noHBand="0" w:noVBand="1"/>
      </w:tblPr>
      <w:tblGrid>
        <w:gridCol w:w="1869"/>
        <w:gridCol w:w="624"/>
        <w:gridCol w:w="624"/>
        <w:gridCol w:w="624"/>
        <w:gridCol w:w="624"/>
        <w:gridCol w:w="624"/>
        <w:gridCol w:w="624"/>
        <w:gridCol w:w="4025"/>
      </w:tblGrid>
      <w:tr w:rsidR="007E34B0" w14:paraId="0B7DD231" w14:textId="77777777" w:rsidTr="007E34B0">
        <w:trPr>
          <w:cantSplit/>
        </w:trPr>
        <w:tc>
          <w:tcPr>
            <w:tcW w:w="1869" w:type="dxa"/>
            <w:hideMark/>
          </w:tcPr>
          <w:p w14:paraId="1978670B" w14:textId="77777777" w:rsidR="007E34B0" w:rsidRDefault="007E34B0">
            <w:pPr>
              <w:pStyle w:val="TableSideHeading"/>
              <w:rPr>
                <w:color w:val="auto"/>
                <w:lang w:eastAsia="en-US"/>
              </w:rPr>
            </w:pPr>
            <w:r>
              <w:rPr>
                <w:sz w:val="26"/>
                <w:rtl/>
              </w:rPr>
              <w:t>הוספת סעיף 59ו1</w:t>
            </w:r>
          </w:p>
        </w:tc>
        <w:tc>
          <w:tcPr>
            <w:tcW w:w="624" w:type="dxa"/>
            <w:hideMark/>
          </w:tcPr>
          <w:p w14:paraId="3B15DAE0" w14:textId="77777777" w:rsidR="007E34B0" w:rsidRDefault="007E34B0">
            <w:pPr>
              <w:pStyle w:val="TableText"/>
            </w:pPr>
            <w:r>
              <w:rPr>
                <w:sz w:val="26"/>
                <w:rtl/>
              </w:rPr>
              <w:t>1.</w:t>
            </w:r>
          </w:p>
        </w:tc>
        <w:tc>
          <w:tcPr>
            <w:tcW w:w="7145" w:type="dxa"/>
            <w:gridSpan w:val="6"/>
            <w:hideMark/>
          </w:tcPr>
          <w:p w14:paraId="507AA0F6" w14:textId="77777777" w:rsidR="007E34B0" w:rsidRDefault="007E34B0">
            <w:pPr>
              <w:pStyle w:val="TableBlock"/>
            </w:pPr>
            <w:r>
              <w:rPr>
                <w:sz w:val="26"/>
                <w:rtl/>
              </w:rPr>
              <w:t xml:space="preserve">בחוק המקרקעין, </w:t>
            </w:r>
            <w:proofErr w:type="spellStart"/>
            <w:r>
              <w:rPr>
                <w:sz w:val="26"/>
                <w:rtl/>
              </w:rPr>
              <w:t>התשכ"ט</w:t>
            </w:r>
            <w:proofErr w:type="spellEnd"/>
            <w:r>
              <w:rPr>
                <w:sz w:val="26"/>
                <w:rtl/>
              </w:rPr>
              <w:t>–1969</w:t>
            </w:r>
            <w:r>
              <w:rPr>
                <w:rStyle w:val="a6"/>
                <w:sz w:val="26"/>
                <w:rtl/>
              </w:rPr>
              <w:footnoteReference w:id="2"/>
            </w:r>
            <w:r>
              <w:rPr>
                <w:sz w:val="26"/>
                <w:rtl/>
              </w:rPr>
              <w:t>, אחרי סעיף 59ו יבוא:</w:t>
            </w:r>
          </w:p>
        </w:tc>
      </w:tr>
      <w:tr w:rsidR="007E34B0" w14:paraId="66633EB0" w14:textId="77777777" w:rsidTr="007E34B0">
        <w:trPr>
          <w:cantSplit/>
        </w:trPr>
        <w:tc>
          <w:tcPr>
            <w:tcW w:w="1869" w:type="dxa"/>
          </w:tcPr>
          <w:p w14:paraId="74F54696" w14:textId="77777777" w:rsidR="007E34B0" w:rsidRDefault="007E34B0">
            <w:pPr>
              <w:pStyle w:val="TableSideHeading"/>
              <w:keepLines w:val="0"/>
            </w:pPr>
          </w:p>
        </w:tc>
        <w:tc>
          <w:tcPr>
            <w:tcW w:w="624" w:type="dxa"/>
          </w:tcPr>
          <w:p w14:paraId="00A1EFD1" w14:textId="77777777" w:rsidR="007E34B0" w:rsidRDefault="007E34B0">
            <w:pPr>
              <w:pStyle w:val="TableText"/>
              <w:keepLines w:val="0"/>
            </w:pPr>
          </w:p>
        </w:tc>
        <w:tc>
          <w:tcPr>
            <w:tcW w:w="1872" w:type="dxa"/>
            <w:gridSpan w:val="3"/>
            <w:hideMark/>
          </w:tcPr>
          <w:p w14:paraId="5F79DA33" w14:textId="77777777" w:rsidR="007E34B0" w:rsidRDefault="007E34B0">
            <w:pPr>
              <w:pStyle w:val="TableInnerSideHeading"/>
            </w:pPr>
            <w:r>
              <w:rPr>
                <w:rtl/>
              </w:rPr>
              <w:t>"התקנת מעלית מטעמים מיוחדים</w:t>
            </w:r>
          </w:p>
        </w:tc>
        <w:tc>
          <w:tcPr>
            <w:tcW w:w="624" w:type="dxa"/>
            <w:hideMark/>
          </w:tcPr>
          <w:p w14:paraId="60B4B5FC" w14:textId="77777777" w:rsidR="007E34B0" w:rsidRDefault="007E34B0">
            <w:pPr>
              <w:pStyle w:val="TableText"/>
            </w:pPr>
            <w:r>
              <w:rPr>
                <w:sz w:val="26"/>
                <w:rtl/>
              </w:rPr>
              <w:t>59ו1.</w:t>
            </w:r>
          </w:p>
        </w:tc>
        <w:tc>
          <w:tcPr>
            <w:tcW w:w="4649" w:type="dxa"/>
            <w:gridSpan w:val="2"/>
            <w:hideMark/>
          </w:tcPr>
          <w:p w14:paraId="0FB67997" w14:textId="77777777" w:rsidR="007E34B0" w:rsidRDefault="007E34B0">
            <w:pPr>
              <w:pStyle w:val="TableBlock"/>
            </w:pPr>
            <w:r>
              <w:rPr>
                <w:sz w:val="26"/>
                <w:rtl/>
              </w:rPr>
              <w:t>(א)</w:t>
            </w:r>
            <w:r>
              <w:rPr>
                <w:sz w:val="26"/>
                <w:rtl/>
              </w:rPr>
              <w:tab/>
              <w:t>רוב בעלי הדירות בבית המשותף רשאים להחליט באסיפה הכללית על התקנת מעלית ברכוש המשותף, אם ביקש זאת בעל דירה שמלאו לו 67 שנים או שהוא או בן משפחתו המתגורר עמו הוא אדם עם מוגבלות.</w:t>
            </w:r>
          </w:p>
        </w:tc>
      </w:tr>
      <w:tr w:rsidR="007E34B0" w14:paraId="48DB569A" w14:textId="77777777" w:rsidTr="007E34B0">
        <w:trPr>
          <w:cantSplit/>
          <w:trHeight w:val="60"/>
        </w:trPr>
        <w:tc>
          <w:tcPr>
            <w:tcW w:w="1869" w:type="dxa"/>
          </w:tcPr>
          <w:p w14:paraId="0868E5EB" w14:textId="77777777" w:rsidR="007E34B0" w:rsidRDefault="007E34B0">
            <w:pPr>
              <w:pStyle w:val="TableSideHeading"/>
            </w:pPr>
          </w:p>
        </w:tc>
        <w:tc>
          <w:tcPr>
            <w:tcW w:w="624" w:type="dxa"/>
          </w:tcPr>
          <w:p w14:paraId="3B492523" w14:textId="77777777" w:rsidR="007E34B0" w:rsidRDefault="007E34B0">
            <w:pPr>
              <w:pStyle w:val="TableText"/>
            </w:pPr>
          </w:p>
        </w:tc>
        <w:tc>
          <w:tcPr>
            <w:tcW w:w="624" w:type="dxa"/>
          </w:tcPr>
          <w:p w14:paraId="00229579" w14:textId="77777777" w:rsidR="007E34B0" w:rsidRDefault="007E34B0">
            <w:pPr>
              <w:pStyle w:val="TableText"/>
            </w:pPr>
          </w:p>
        </w:tc>
        <w:tc>
          <w:tcPr>
            <w:tcW w:w="624" w:type="dxa"/>
          </w:tcPr>
          <w:p w14:paraId="49CCE9B2" w14:textId="77777777" w:rsidR="007E34B0" w:rsidRDefault="007E34B0">
            <w:pPr>
              <w:pStyle w:val="TableText"/>
            </w:pPr>
          </w:p>
        </w:tc>
        <w:tc>
          <w:tcPr>
            <w:tcW w:w="624" w:type="dxa"/>
          </w:tcPr>
          <w:p w14:paraId="552E27FB" w14:textId="77777777" w:rsidR="007E34B0" w:rsidRDefault="007E34B0">
            <w:pPr>
              <w:pStyle w:val="TableText"/>
            </w:pPr>
          </w:p>
        </w:tc>
        <w:tc>
          <w:tcPr>
            <w:tcW w:w="624" w:type="dxa"/>
          </w:tcPr>
          <w:p w14:paraId="66C0B9FF" w14:textId="77777777" w:rsidR="007E34B0" w:rsidRDefault="007E34B0">
            <w:pPr>
              <w:pStyle w:val="TableText"/>
            </w:pPr>
          </w:p>
        </w:tc>
        <w:tc>
          <w:tcPr>
            <w:tcW w:w="624" w:type="dxa"/>
            <w:hideMark/>
          </w:tcPr>
          <w:p w14:paraId="0AAC6879" w14:textId="77777777" w:rsidR="007E34B0" w:rsidRDefault="007E34B0">
            <w:pPr>
              <w:pStyle w:val="TableText"/>
            </w:pPr>
            <w:r>
              <w:rPr>
                <w:sz w:val="26"/>
                <w:rtl/>
              </w:rPr>
              <w:t>(ב)</w:t>
            </w:r>
          </w:p>
        </w:tc>
        <w:tc>
          <w:tcPr>
            <w:tcW w:w="4025" w:type="dxa"/>
            <w:hideMark/>
          </w:tcPr>
          <w:p w14:paraId="13308E9A" w14:textId="77777777" w:rsidR="007E34B0" w:rsidRDefault="007E34B0">
            <w:pPr>
              <w:pStyle w:val="TableBlock"/>
            </w:pPr>
            <w:r>
              <w:rPr>
                <w:sz w:val="26"/>
                <w:rtl/>
              </w:rPr>
              <w:t>(1)</w:t>
            </w:r>
            <w:r>
              <w:rPr>
                <w:sz w:val="26"/>
                <w:rtl/>
              </w:rPr>
              <w:tab/>
              <w:t>בעלי הדירות הנמנים עם המחליטים על התקנת המעלית יישאו בהוצאות התקנתה, החזקתה והפעלתה.</w:t>
            </w:r>
          </w:p>
        </w:tc>
      </w:tr>
      <w:tr w:rsidR="007E34B0" w14:paraId="62356325" w14:textId="77777777" w:rsidTr="007E34B0">
        <w:trPr>
          <w:cantSplit/>
        </w:trPr>
        <w:tc>
          <w:tcPr>
            <w:tcW w:w="1869" w:type="dxa"/>
          </w:tcPr>
          <w:p w14:paraId="219635AD" w14:textId="77777777" w:rsidR="007E34B0" w:rsidRDefault="007E34B0">
            <w:pPr>
              <w:pStyle w:val="TableSideHeading"/>
            </w:pPr>
          </w:p>
        </w:tc>
        <w:tc>
          <w:tcPr>
            <w:tcW w:w="624" w:type="dxa"/>
          </w:tcPr>
          <w:p w14:paraId="1A95FE9F" w14:textId="77777777" w:rsidR="007E34B0" w:rsidRDefault="007E34B0">
            <w:pPr>
              <w:pStyle w:val="TableText"/>
            </w:pPr>
          </w:p>
        </w:tc>
        <w:tc>
          <w:tcPr>
            <w:tcW w:w="624" w:type="dxa"/>
          </w:tcPr>
          <w:p w14:paraId="0755EC43" w14:textId="77777777" w:rsidR="007E34B0" w:rsidRDefault="007E34B0">
            <w:pPr>
              <w:pStyle w:val="TableText"/>
            </w:pPr>
          </w:p>
        </w:tc>
        <w:tc>
          <w:tcPr>
            <w:tcW w:w="624" w:type="dxa"/>
          </w:tcPr>
          <w:p w14:paraId="0655794C" w14:textId="77777777" w:rsidR="007E34B0" w:rsidRDefault="007E34B0">
            <w:pPr>
              <w:pStyle w:val="TableText"/>
            </w:pPr>
          </w:p>
        </w:tc>
        <w:tc>
          <w:tcPr>
            <w:tcW w:w="624" w:type="dxa"/>
          </w:tcPr>
          <w:p w14:paraId="181AF981" w14:textId="77777777" w:rsidR="007E34B0" w:rsidRDefault="007E34B0">
            <w:pPr>
              <w:pStyle w:val="TableText"/>
            </w:pPr>
          </w:p>
        </w:tc>
        <w:tc>
          <w:tcPr>
            <w:tcW w:w="624" w:type="dxa"/>
          </w:tcPr>
          <w:p w14:paraId="5DE299BC" w14:textId="77777777" w:rsidR="007E34B0" w:rsidRDefault="007E34B0">
            <w:pPr>
              <w:pStyle w:val="TableText"/>
            </w:pPr>
          </w:p>
        </w:tc>
        <w:tc>
          <w:tcPr>
            <w:tcW w:w="624" w:type="dxa"/>
          </w:tcPr>
          <w:p w14:paraId="5930B343" w14:textId="77777777" w:rsidR="007E34B0" w:rsidRDefault="007E34B0">
            <w:pPr>
              <w:pStyle w:val="TableText"/>
            </w:pPr>
          </w:p>
        </w:tc>
        <w:tc>
          <w:tcPr>
            <w:tcW w:w="4025" w:type="dxa"/>
            <w:hideMark/>
          </w:tcPr>
          <w:p w14:paraId="3C59F5BF" w14:textId="77777777" w:rsidR="007E34B0" w:rsidRDefault="007E34B0">
            <w:pPr>
              <w:pStyle w:val="TableBlock"/>
            </w:pPr>
            <w:r>
              <w:rPr>
                <w:sz w:val="26"/>
                <w:rtl/>
              </w:rPr>
              <w:t>(2)</w:t>
            </w:r>
            <w:r>
              <w:rPr>
                <w:sz w:val="26"/>
                <w:rtl/>
              </w:rPr>
              <w:tab/>
              <w:t xml:space="preserve">בעלי הדירות שאינם נמנים עם המחליטים כאמור לא יהיו רשאים להשתמש במעלית, אולם בעל הדירה כאמור רשאי להודיע, בכל שלב לאחר ההחלטה על התקנת המעלית, על רצונו להשתמש בה; עם מתן ההודעה כאמור ולאחר תשלום חלקו בהוצאות ההתקנה, ואם שופצה המעלית – גם בהוצאות השיפוץ, לבעלי הדירות שנשאו בהוצאות האמורות או </w:t>
            </w:r>
            <w:proofErr w:type="spellStart"/>
            <w:r>
              <w:rPr>
                <w:sz w:val="26"/>
                <w:rtl/>
              </w:rPr>
              <w:t>לחליפיהם</w:t>
            </w:r>
            <w:proofErr w:type="spellEnd"/>
            <w:r>
              <w:rPr>
                <w:sz w:val="26"/>
                <w:rtl/>
              </w:rPr>
              <w:t>, יהיה בעל הדירה כאמור רשאי להשתמש במעלית ויחולו עליו הוראות פסקה (1).</w:t>
            </w:r>
          </w:p>
        </w:tc>
      </w:tr>
      <w:tr w:rsidR="007E34B0" w14:paraId="14597093" w14:textId="77777777" w:rsidTr="007E34B0">
        <w:trPr>
          <w:cantSplit/>
        </w:trPr>
        <w:tc>
          <w:tcPr>
            <w:tcW w:w="1869" w:type="dxa"/>
          </w:tcPr>
          <w:p w14:paraId="35297C93" w14:textId="77777777" w:rsidR="007E34B0" w:rsidRDefault="007E34B0">
            <w:pPr>
              <w:pStyle w:val="TableSideHeading"/>
            </w:pPr>
          </w:p>
        </w:tc>
        <w:tc>
          <w:tcPr>
            <w:tcW w:w="624" w:type="dxa"/>
          </w:tcPr>
          <w:p w14:paraId="139CF017" w14:textId="77777777" w:rsidR="007E34B0" w:rsidRDefault="007E34B0">
            <w:pPr>
              <w:pStyle w:val="TableText"/>
            </w:pPr>
          </w:p>
        </w:tc>
        <w:tc>
          <w:tcPr>
            <w:tcW w:w="624" w:type="dxa"/>
          </w:tcPr>
          <w:p w14:paraId="06B37049" w14:textId="77777777" w:rsidR="007E34B0" w:rsidRDefault="007E34B0">
            <w:pPr>
              <w:pStyle w:val="TableText"/>
            </w:pPr>
          </w:p>
        </w:tc>
        <w:tc>
          <w:tcPr>
            <w:tcW w:w="624" w:type="dxa"/>
          </w:tcPr>
          <w:p w14:paraId="2CE75066" w14:textId="77777777" w:rsidR="007E34B0" w:rsidRDefault="007E34B0">
            <w:pPr>
              <w:pStyle w:val="TableText"/>
            </w:pPr>
          </w:p>
        </w:tc>
        <w:tc>
          <w:tcPr>
            <w:tcW w:w="624" w:type="dxa"/>
          </w:tcPr>
          <w:p w14:paraId="41043584" w14:textId="77777777" w:rsidR="007E34B0" w:rsidRDefault="007E34B0">
            <w:pPr>
              <w:pStyle w:val="TableText"/>
            </w:pPr>
          </w:p>
        </w:tc>
        <w:tc>
          <w:tcPr>
            <w:tcW w:w="624" w:type="dxa"/>
          </w:tcPr>
          <w:p w14:paraId="5985E856" w14:textId="77777777" w:rsidR="007E34B0" w:rsidRDefault="007E34B0">
            <w:pPr>
              <w:pStyle w:val="TableText"/>
            </w:pPr>
          </w:p>
        </w:tc>
        <w:tc>
          <w:tcPr>
            <w:tcW w:w="624" w:type="dxa"/>
          </w:tcPr>
          <w:p w14:paraId="012F0DDA" w14:textId="77777777" w:rsidR="007E34B0" w:rsidRDefault="007E34B0">
            <w:pPr>
              <w:pStyle w:val="TableText"/>
            </w:pPr>
          </w:p>
        </w:tc>
        <w:tc>
          <w:tcPr>
            <w:tcW w:w="4025" w:type="dxa"/>
            <w:hideMark/>
          </w:tcPr>
          <w:p w14:paraId="0533192C" w14:textId="77777777" w:rsidR="007E34B0" w:rsidRDefault="007E34B0">
            <w:pPr>
              <w:pStyle w:val="TableBlock"/>
            </w:pPr>
            <w:r>
              <w:rPr>
                <w:sz w:val="26"/>
                <w:rtl/>
              </w:rPr>
              <w:t>(3)</w:t>
            </w:r>
            <w:r>
              <w:rPr>
                <w:sz w:val="26"/>
                <w:rtl/>
              </w:rPr>
              <w:tab/>
              <w:t>יראו בעל דירה שהשתמש במעלית אף אם אינו רשאי לעשות כן כמי שהודיע על רצונו בכך, ויחולו עליו הוראות פסקה (1).</w:t>
            </w:r>
          </w:p>
        </w:tc>
      </w:tr>
      <w:tr w:rsidR="007E34B0" w14:paraId="5D44A8C2" w14:textId="77777777" w:rsidTr="007E34B0">
        <w:trPr>
          <w:cantSplit/>
        </w:trPr>
        <w:tc>
          <w:tcPr>
            <w:tcW w:w="1869" w:type="dxa"/>
          </w:tcPr>
          <w:p w14:paraId="4640703B" w14:textId="77777777" w:rsidR="007E34B0" w:rsidRDefault="007E34B0">
            <w:pPr>
              <w:pStyle w:val="TableSideHeading"/>
            </w:pPr>
          </w:p>
        </w:tc>
        <w:tc>
          <w:tcPr>
            <w:tcW w:w="624" w:type="dxa"/>
          </w:tcPr>
          <w:p w14:paraId="311E642D" w14:textId="77777777" w:rsidR="007E34B0" w:rsidRDefault="007E34B0">
            <w:pPr>
              <w:pStyle w:val="TableText"/>
            </w:pPr>
          </w:p>
        </w:tc>
        <w:tc>
          <w:tcPr>
            <w:tcW w:w="624" w:type="dxa"/>
          </w:tcPr>
          <w:p w14:paraId="75F5EF1B" w14:textId="77777777" w:rsidR="007E34B0" w:rsidRDefault="007E34B0">
            <w:pPr>
              <w:pStyle w:val="TableText"/>
            </w:pPr>
          </w:p>
        </w:tc>
        <w:tc>
          <w:tcPr>
            <w:tcW w:w="624" w:type="dxa"/>
          </w:tcPr>
          <w:p w14:paraId="76E2DA10" w14:textId="77777777" w:rsidR="007E34B0" w:rsidRDefault="007E34B0">
            <w:pPr>
              <w:pStyle w:val="TableText"/>
            </w:pPr>
          </w:p>
        </w:tc>
        <w:tc>
          <w:tcPr>
            <w:tcW w:w="624" w:type="dxa"/>
          </w:tcPr>
          <w:p w14:paraId="77D4905E" w14:textId="77777777" w:rsidR="007E34B0" w:rsidRDefault="007E34B0">
            <w:pPr>
              <w:pStyle w:val="TableText"/>
            </w:pPr>
          </w:p>
        </w:tc>
        <w:tc>
          <w:tcPr>
            <w:tcW w:w="624" w:type="dxa"/>
          </w:tcPr>
          <w:p w14:paraId="30B37064" w14:textId="77777777" w:rsidR="007E34B0" w:rsidRDefault="007E34B0">
            <w:pPr>
              <w:pStyle w:val="TableText"/>
            </w:pPr>
          </w:p>
        </w:tc>
        <w:tc>
          <w:tcPr>
            <w:tcW w:w="4649" w:type="dxa"/>
            <w:gridSpan w:val="2"/>
            <w:hideMark/>
          </w:tcPr>
          <w:p w14:paraId="6EEB8B1C" w14:textId="77777777" w:rsidR="007E34B0" w:rsidRDefault="007E34B0">
            <w:pPr>
              <w:pStyle w:val="TableBlock"/>
            </w:pPr>
            <w:r>
              <w:rPr>
                <w:rtl/>
              </w:rPr>
              <w:t>(ג)</w:t>
            </w:r>
            <w:r>
              <w:rPr>
                <w:rtl/>
              </w:rPr>
              <w:tab/>
              <w:t>על התקנת מעלית כאמור בסעיף קטן (א) יחולו הוראות סעיף 59ו, למעט סעיף קטן (א) רישה שבו וסעיף קטן (ב)(3); לעניין אדם עם מוגבלות, יחולו גם הוראות סעיף 59ג(ב)(2), בשינויים המחויבים."</w:t>
            </w:r>
          </w:p>
        </w:tc>
      </w:tr>
    </w:tbl>
    <w:p w14:paraId="74B61FD2" w14:textId="77777777" w:rsidR="007E34B0" w:rsidRDefault="007E34B0" w:rsidP="007E34B0">
      <w:pPr>
        <w:pStyle w:val="HeadDivreiHesber"/>
        <w:rPr>
          <w:rtl/>
        </w:rPr>
      </w:pPr>
      <w:r>
        <w:rPr>
          <w:rtl/>
        </w:rPr>
        <w:t>דברי הסבר</w:t>
      </w:r>
    </w:p>
    <w:p w14:paraId="09EFAB29" w14:textId="77777777" w:rsidR="007E34B0" w:rsidRPr="00B52F55" w:rsidRDefault="007E34B0" w:rsidP="00B52F55">
      <w:pPr>
        <w:pStyle w:val="Hesber"/>
        <w:rPr>
          <w:rtl/>
        </w:rPr>
      </w:pPr>
      <w:r w:rsidRPr="00B52F55">
        <w:rPr>
          <w:rtl/>
        </w:rPr>
        <w:t xml:space="preserve">הצעת חוק זו נועדה להקל את הדרישה לרוב הדרוש בהחלטה של בעלי דירות בבית משותף על התקנת מעלית, לבקשת בעל דירה שהוא אדם מבוגר שמלאו לו 67 שנים, או בעל דירה שהוא או בן משפחתו המתגורר עמו הוא אדם עם מוגבלות, אם הציג מסמך כאמור בסעיף 59ג(ב)(2) לחוק המקרקעין, </w:t>
      </w:r>
      <w:proofErr w:type="spellStart"/>
      <w:r w:rsidRPr="00B52F55">
        <w:rPr>
          <w:rtl/>
        </w:rPr>
        <w:t>התשכ"ט</w:t>
      </w:r>
      <w:proofErr w:type="spellEnd"/>
      <w:r w:rsidRPr="00B52F55">
        <w:rPr>
          <w:rtl/>
        </w:rPr>
        <w:t>–1969 (להלן – החוק), המעיד שהקמת המעלית דרושה לו בשל מוגבלותו. מוצע כי הרוב הדרוש להחלטה כאמור יהיה רוב הדירות ולא שני שלישים של בעלי הדירות, לפי המצב החוקי הקיים.</w:t>
      </w:r>
    </w:p>
    <w:p w14:paraId="4A85FEB7" w14:textId="77777777" w:rsidR="007E34B0" w:rsidRPr="00B52F55" w:rsidRDefault="007E34B0" w:rsidP="00B52F55">
      <w:pPr>
        <w:pStyle w:val="Hesber"/>
      </w:pPr>
      <w:r w:rsidRPr="00B52F55">
        <w:rPr>
          <w:rtl/>
        </w:rPr>
        <w:t>הרוב הדרוש כיום מאפשר לא אחת לבעלי דירות בבית משותף להתנות את הסכמתם להתקנת מעלית בכך שבעל הדירה הזקוק למעלית יישא בהוצאות התקנתה, אף שהיא עשויה להעלות את ערכן של כל הדירות בבית וגם בעלי דירות אלו יוכלו ליהנות מהשימוש בה. כדי לעודד בעלי דירות שלא להתנגד להתקנת מעלית בבית משותף כאמור, מוצע לקבוע כי רק המחליטים על כך יישאו בהוצאות התקנתה, החזקתה והפעלתה של המעלית, אולם בעל דירה שלא הסכים להתקנה ולא נשא בהוצאות כאמור לא יהיה רשאי להשתמש בה.</w:t>
      </w:r>
    </w:p>
    <w:p w14:paraId="11897C83" w14:textId="77777777" w:rsidR="007E34B0" w:rsidRPr="00B52F55" w:rsidRDefault="007E34B0" w:rsidP="00B52F55">
      <w:pPr>
        <w:pStyle w:val="Hesber"/>
        <w:rPr>
          <w:rtl/>
        </w:rPr>
      </w:pPr>
      <w:r w:rsidRPr="00B52F55">
        <w:rPr>
          <w:rtl/>
        </w:rPr>
        <w:t>עם זאת, מוצע לאפשר לבעל דירה שלא הסכים מלכתחילה להתקנת המעלית להודיע לאחר ההחלטה על ההתקנה על רצונו להשתמש בה, והוא יהיה רשאי לעשות כן לאחר ששילם ליתר בעלי הדירות את חלקו היחסי בעלויות ההתקנה של המעלית ובעלויות שיפוצה, אם היה. משעשה כן, יישא בהוצאות הקשורות למעלית כפי שנושאים בהן בעלי הדירות שהחליטו על ההתקנה.</w:t>
      </w:r>
    </w:p>
    <w:p w14:paraId="627A72BF" w14:textId="4565C062" w:rsidR="007E34B0" w:rsidRPr="00B52F55" w:rsidRDefault="007E34B0" w:rsidP="004B4E79">
      <w:pPr>
        <w:pStyle w:val="Hesber"/>
        <w:rPr>
          <w:rtl/>
        </w:rPr>
      </w:pPr>
      <w:r w:rsidRPr="00B52F55">
        <w:rPr>
          <w:rtl/>
        </w:rPr>
        <w:t xml:space="preserve">עוד מוצע לקבוע חזקה </w:t>
      </w:r>
      <w:r w:rsidR="004B4E79">
        <w:rPr>
          <w:rFonts w:hint="cs"/>
          <w:rtl/>
        </w:rPr>
        <w:t xml:space="preserve">חלוטה לפיה </w:t>
      </w:r>
      <w:r w:rsidRPr="00B52F55">
        <w:rPr>
          <w:rtl/>
        </w:rPr>
        <w:t>בעל דירה שלא היה רשאי להשתמש במעלית ועשה כן, והוא ייחשב כמי שהסכים להתקנתה וניתן יהיה לאכוף עליו את חובת התשלום כאמור.</w:t>
      </w:r>
    </w:p>
    <w:p w14:paraId="0E90FC54" w14:textId="77777777" w:rsidR="007E34B0" w:rsidRPr="00B52F55" w:rsidRDefault="007E34B0" w:rsidP="00B52F55">
      <w:pPr>
        <w:pStyle w:val="Hesber"/>
        <w:rPr>
          <w:rtl/>
        </w:rPr>
      </w:pPr>
      <w:r w:rsidRPr="00B52F55">
        <w:rPr>
          <w:rtl/>
        </w:rPr>
        <w:t>ככלל מוצע להחיל על התקנת מעלית בנסיבות כאמור את ההוראות הכלליות הנוגעות להתקנת מעלית שבסעיף 59ו לחוק, כגון התנאי שלפיו ניתן לקבל היתר בנייה להתקנת המעלית וההוראה הפוטרת את בעלי הדירות בקומת קרקע מהוצאות הקשורות למעלית, אף אם הם נמנים עם המחליטים להתקינה, למעט הוראות שאינן עולות בקנה אחד עם ההסדרים הייחודיים בסעיף המוצע, שהן הוראות לעניין הרוב הדרוש ולעניין השתתפות כלל בעלי הדירות בהוצאות.</w:t>
      </w:r>
    </w:p>
    <w:p w14:paraId="6B2CEE6A" w14:textId="21E7D976" w:rsidR="007E34B0" w:rsidRDefault="007E34B0" w:rsidP="00012809">
      <w:pPr>
        <w:pStyle w:val="Hesber"/>
        <w:rPr>
          <w:rtl/>
        </w:rPr>
      </w:pPr>
      <w:r w:rsidRPr="00B52F55">
        <w:rPr>
          <w:rtl/>
        </w:rPr>
        <w:t>הצעות חוק זהות הונחו על שולחן הכנסת השבע-עשרה על ידי חבר הכנסת משה שרוני (פ/3230/17</w:t>
      </w:r>
      <w:r w:rsidR="004B4E79">
        <w:rPr>
          <w:rFonts w:hint="cs"/>
          <w:rtl/>
        </w:rPr>
        <w:t xml:space="preserve">), </w:t>
      </w:r>
      <w:r w:rsidRPr="00B52F55">
        <w:rPr>
          <w:rFonts w:hint="cs"/>
          <w:rtl/>
        </w:rPr>
        <w:t xml:space="preserve">על שולחן הכנסת השמונה-עשרה על ידי חברי הכנסת דב </w:t>
      </w:r>
      <w:proofErr w:type="spellStart"/>
      <w:r w:rsidRPr="00B52F55">
        <w:rPr>
          <w:rFonts w:hint="cs"/>
          <w:rtl/>
        </w:rPr>
        <w:t>חנ</w:t>
      </w:r>
      <w:r w:rsidR="00B52F55">
        <w:rPr>
          <w:rFonts w:hint="cs"/>
          <w:rtl/>
        </w:rPr>
        <w:t>ין</w:t>
      </w:r>
      <w:proofErr w:type="spellEnd"/>
      <w:r w:rsidR="00B52F55">
        <w:rPr>
          <w:rFonts w:hint="cs"/>
          <w:rtl/>
        </w:rPr>
        <w:t xml:space="preserve"> ומשה מוץ </w:t>
      </w:r>
      <w:proofErr w:type="spellStart"/>
      <w:r w:rsidR="00B52F55">
        <w:rPr>
          <w:rFonts w:hint="cs"/>
          <w:rtl/>
        </w:rPr>
        <w:t>מטלון</w:t>
      </w:r>
      <w:proofErr w:type="spellEnd"/>
      <w:r w:rsidR="00B52F55">
        <w:rPr>
          <w:rFonts w:hint="cs"/>
          <w:rtl/>
        </w:rPr>
        <w:t xml:space="preserve"> (פ/3162/18), </w:t>
      </w:r>
      <w:r w:rsidRPr="00B52F55">
        <w:rPr>
          <w:rFonts w:hint="cs"/>
          <w:rtl/>
        </w:rPr>
        <w:t xml:space="preserve">על שולחן הכנסת התשע-עשרה על ידי חבר הכנסת דב </w:t>
      </w:r>
      <w:proofErr w:type="spellStart"/>
      <w:r w:rsidRPr="00B52F55">
        <w:rPr>
          <w:rFonts w:hint="cs"/>
          <w:rtl/>
        </w:rPr>
        <w:t>חנין</w:t>
      </w:r>
      <w:proofErr w:type="spellEnd"/>
      <w:r w:rsidRPr="00B52F55">
        <w:rPr>
          <w:rFonts w:hint="cs"/>
          <w:rtl/>
        </w:rPr>
        <w:t xml:space="preserve"> וקבוצת חברי הכנסת (פ/238/19)</w:t>
      </w:r>
      <w:r w:rsidR="00B52F55">
        <w:rPr>
          <w:rFonts w:hint="cs"/>
          <w:rtl/>
        </w:rPr>
        <w:t xml:space="preserve">, </w:t>
      </w:r>
      <w:r w:rsidR="00B52F55" w:rsidRPr="00B52F55">
        <w:rPr>
          <w:rFonts w:hint="cs"/>
          <w:rtl/>
        </w:rPr>
        <w:t>על שולחן הכנסת</w:t>
      </w:r>
      <w:r w:rsidR="004B4E79">
        <w:rPr>
          <w:rFonts w:hint="cs"/>
          <w:rtl/>
        </w:rPr>
        <w:t xml:space="preserve"> העשרים על ידי חברת הכנסת טלי </w:t>
      </w:r>
      <w:proofErr w:type="spellStart"/>
      <w:r w:rsidR="004B4E79">
        <w:rPr>
          <w:rFonts w:hint="cs"/>
          <w:rtl/>
        </w:rPr>
        <w:t>פ</w:t>
      </w:r>
      <w:r w:rsidR="00B52F55" w:rsidRPr="00B52F55">
        <w:rPr>
          <w:rFonts w:hint="cs"/>
          <w:rtl/>
        </w:rPr>
        <w:t>ל</w:t>
      </w:r>
      <w:r w:rsidR="004B4E79">
        <w:rPr>
          <w:rFonts w:hint="cs"/>
          <w:rtl/>
        </w:rPr>
        <w:t>ו</w:t>
      </w:r>
      <w:r w:rsidR="00B52F55" w:rsidRPr="00B52F55">
        <w:rPr>
          <w:rFonts w:hint="cs"/>
          <w:rtl/>
        </w:rPr>
        <w:t>סקוב</w:t>
      </w:r>
      <w:proofErr w:type="spellEnd"/>
      <w:r w:rsidR="00B52F55" w:rsidRPr="00B52F55">
        <w:rPr>
          <w:rFonts w:hint="cs"/>
          <w:rtl/>
        </w:rPr>
        <w:t xml:space="preserve"> (פ/5503/20)</w:t>
      </w:r>
      <w:r w:rsidR="00B52F55">
        <w:rPr>
          <w:rFonts w:hint="cs"/>
          <w:rtl/>
        </w:rPr>
        <w:t>, ועל שולחן הכנסת העשרים-ואחת על ידי חבר הכנסת יעקב אשר וקבוצת חברי הכנסת (</w:t>
      </w:r>
      <w:r w:rsidR="00012809">
        <w:rPr>
          <w:rFonts w:hint="cs"/>
          <w:rtl/>
        </w:rPr>
        <w:t>פ/426/21</w:t>
      </w:r>
      <w:r w:rsidR="00B52F55">
        <w:rPr>
          <w:rFonts w:hint="cs"/>
          <w:rtl/>
        </w:rPr>
        <w:t>).</w:t>
      </w:r>
    </w:p>
    <w:p w14:paraId="013FD60B" w14:textId="77777777" w:rsidR="007463EE" w:rsidRDefault="007463EE" w:rsidP="007463EE">
      <w:pPr>
        <w:pStyle w:val="Hesber"/>
        <w:spacing w:line="240" w:lineRule="auto"/>
        <w:rPr>
          <w:rtl/>
        </w:rPr>
      </w:pPr>
      <w:r>
        <w:rPr>
          <w:rtl/>
        </w:rPr>
        <w:t>---------------------------------</w:t>
      </w:r>
    </w:p>
    <w:p w14:paraId="0903223A" w14:textId="77777777" w:rsidR="007463EE" w:rsidRDefault="007463EE" w:rsidP="007463EE">
      <w:pPr>
        <w:pStyle w:val="Hesber"/>
        <w:spacing w:line="240" w:lineRule="auto"/>
        <w:rPr>
          <w:rtl/>
        </w:rPr>
      </w:pPr>
      <w:r>
        <w:rPr>
          <w:rtl/>
        </w:rPr>
        <w:t>הוגשה ליו"ר הכנסת והסגנים</w:t>
      </w:r>
    </w:p>
    <w:p w14:paraId="5844CC12" w14:textId="77777777" w:rsidR="007463EE" w:rsidRDefault="007463EE" w:rsidP="007463EE">
      <w:pPr>
        <w:pStyle w:val="Hesber"/>
        <w:spacing w:line="240" w:lineRule="auto"/>
        <w:rPr>
          <w:rtl/>
        </w:rPr>
      </w:pPr>
      <w:r>
        <w:rPr>
          <w:rtl/>
        </w:rPr>
        <w:t>והונחה על שולחן הכנסת ביום</w:t>
      </w:r>
    </w:p>
    <w:p w14:paraId="7F6961CB" w14:textId="0D4E6A36" w:rsidR="00E13C27" w:rsidRPr="00B52F55" w:rsidRDefault="007463EE" w:rsidP="007463EE">
      <w:pPr>
        <w:pStyle w:val="Hesber"/>
        <w:spacing w:line="240" w:lineRule="auto"/>
        <w:rPr>
          <w:rtl/>
        </w:rPr>
      </w:pPr>
      <w:r>
        <w:rPr>
          <w:rtl/>
        </w:rPr>
        <w:t xml:space="preserve">כ"ב באייר </w:t>
      </w:r>
      <w:proofErr w:type="spellStart"/>
      <w:r>
        <w:rPr>
          <w:rtl/>
        </w:rPr>
        <w:t>התשע"ט</w:t>
      </w:r>
      <w:proofErr w:type="spellEnd"/>
      <w:r>
        <w:rPr>
          <w:rtl/>
        </w:rPr>
        <w:t xml:space="preserve"> - 27.5.19</w:t>
      </w:r>
      <w:bookmarkStart w:id="8" w:name="_GoBack"/>
      <w:bookmarkEnd w:id="8"/>
    </w:p>
    <w:sectPr w:rsidR="00E13C27" w:rsidRPr="00B52F55"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00DA25BC"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7463EE">
      <w:rPr>
        <w:rStyle w:val="ab"/>
        <w:noProof/>
        <w:rtl/>
      </w:rPr>
      <w:t>2</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74C0" w14:textId="77777777" w:rsidR="00D142D3" w:rsidRDefault="00D142D3">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35C358C9" w14:textId="77777777" w:rsidR="007E34B0" w:rsidRDefault="007E34B0" w:rsidP="007E34B0">
      <w:pPr>
        <w:pStyle w:val="a4"/>
        <w:rPr>
          <w:rtl/>
        </w:rPr>
      </w:pPr>
      <w:r>
        <w:rPr>
          <w:rStyle w:val="a6"/>
        </w:rPr>
        <w:footnoteRef/>
      </w:r>
      <w:r>
        <w:rPr>
          <w:sz w:val="20"/>
          <w:rtl/>
        </w:rPr>
        <w:t xml:space="preserve"> ס"ח </w:t>
      </w:r>
      <w:proofErr w:type="spellStart"/>
      <w:r>
        <w:rPr>
          <w:sz w:val="20"/>
          <w:rtl/>
        </w:rPr>
        <w:t>התשכ"ט</w:t>
      </w:r>
      <w:proofErr w:type="spellEnd"/>
      <w:r>
        <w:rPr>
          <w:sz w:val="20"/>
          <w:rtl/>
        </w:rPr>
        <w:t>, עמ' 259.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2809"/>
    <w:rsid w:val="00015B27"/>
    <w:rsid w:val="00063A3E"/>
    <w:rsid w:val="00072CAC"/>
    <w:rsid w:val="0007681A"/>
    <w:rsid w:val="000A542E"/>
    <w:rsid w:val="00102B6B"/>
    <w:rsid w:val="001052D4"/>
    <w:rsid w:val="0010644B"/>
    <w:rsid w:val="001207F8"/>
    <w:rsid w:val="00121924"/>
    <w:rsid w:val="001279A8"/>
    <w:rsid w:val="0014195F"/>
    <w:rsid w:val="00152609"/>
    <w:rsid w:val="00153E1B"/>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86E88"/>
    <w:rsid w:val="00396585"/>
    <w:rsid w:val="003D6E38"/>
    <w:rsid w:val="003D74A0"/>
    <w:rsid w:val="004033D8"/>
    <w:rsid w:val="004073F0"/>
    <w:rsid w:val="00412A7D"/>
    <w:rsid w:val="00416B4D"/>
    <w:rsid w:val="00417CFC"/>
    <w:rsid w:val="004A06DC"/>
    <w:rsid w:val="004B24ED"/>
    <w:rsid w:val="004B4E79"/>
    <w:rsid w:val="004B6625"/>
    <w:rsid w:val="004D2D82"/>
    <w:rsid w:val="004D3876"/>
    <w:rsid w:val="004E4552"/>
    <w:rsid w:val="004E6CDF"/>
    <w:rsid w:val="00553C9D"/>
    <w:rsid w:val="00562A66"/>
    <w:rsid w:val="005B064E"/>
    <w:rsid w:val="005D51AE"/>
    <w:rsid w:val="0062674B"/>
    <w:rsid w:val="006363B2"/>
    <w:rsid w:val="00644940"/>
    <w:rsid w:val="006818A9"/>
    <w:rsid w:val="006A2D81"/>
    <w:rsid w:val="006C1D0D"/>
    <w:rsid w:val="0070601E"/>
    <w:rsid w:val="00712C72"/>
    <w:rsid w:val="00735FE9"/>
    <w:rsid w:val="007463EE"/>
    <w:rsid w:val="00763CAA"/>
    <w:rsid w:val="00765F66"/>
    <w:rsid w:val="0078664F"/>
    <w:rsid w:val="007A27CE"/>
    <w:rsid w:val="007C3FA6"/>
    <w:rsid w:val="007D585A"/>
    <w:rsid w:val="007D5A12"/>
    <w:rsid w:val="007E34B0"/>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443CF"/>
    <w:rsid w:val="00A6611D"/>
    <w:rsid w:val="00A82CB7"/>
    <w:rsid w:val="00A942C1"/>
    <w:rsid w:val="00AA2F03"/>
    <w:rsid w:val="00AC36F7"/>
    <w:rsid w:val="00AC63A4"/>
    <w:rsid w:val="00AD239E"/>
    <w:rsid w:val="00B10265"/>
    <w:rsid w:val="00B16A99"/>
    <w:rsid w:val="00B21211"/>
    <w:rsid w:val="00B35784"/>
    <w:rsid w:val="00B52F55"/>
    <w:rsid w:val="00B733A7"/>
    <w:rsid w:val="00B75C91"/>
    <w:rsid w:val="00B975AD"/>
    <w:rsid w:val="00BC45FB"/>
    <w:rsid w:val="00BF148D"/>
    <w:rsid w:val="00C23B1A"/>
    <w:rsid w:val="00C310EB"/>
    <w:rsid w:val="00C9176A"/>
    <w:rsid w:val="00CF1AA2"/>
    <w:rsid w:val="00D142D3"/>
    <w:rsid w:val="00D17774"/>
    <w:rsid w:val="00D63620"/>
    <w:rsid w:val="00D8410D"/>
    <w:rsid w:val="00D867D7"/>
    <w:rsid w:val="00DB7060"/>
    <w:rsid w:val="00DE3153"/>
    <w:rsid w:val="00E06736"/>
    <w:rsid w:val="00E13C27"/>
    <w:rsid w:val="00E33BBD"/>
    <w:rsid w:val="00E374F2"/>
    <w:rsid w:val="00E45103"/>
    <w:rsid w:val="00E55A60"/>
    <w:rsid w:val="00E62778"/>
    <w:rsid w:val="00E635A2"/>
    <w:rsid w:val="00E63D38"/>
    <w:rsid w:val="00E665B9"/>
    <w:rsid w:val="00EA01E6"/>
    <w:rsid w:val="00EA3DE8"/>
    <w:rsid w:val="00EA758F"/>
    <w:rsid w:val="00ED4A6F"/>
    <w:rsid w:val="00EF3A3A"/>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16A9BC4B-8E16-4900-BC68-A369FC42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semiHidden/>
    <w:rsid w:val="007E34B0"/>
    <w:rPr>
      <w:rFonts w:ascii="Arial" w:eastAsia="Arial Unicode MS" w:hAnsi="Arial" w:cs="David"/>
      <w:snapToGrid w:val="0"/>
      <w:color w:val="000000"/>
      <w:sz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045427">
      <w:bodyDiv w:val="1"/>
      <w:marLeft w:val="0"/>
      <w:marRight w:val="0"/>
      <w:marTop w:val="0"/>
      <w:marBottom w:val="0"/>
      <w:divBdr>
        <w:top w:val="none" w:sz="0" w:space="0" w:color="auto"/>
        <w:left w:val="none" w:sz="0" w:space="0" w:color="auto"/>
        <w:bottom w:val="none" w:sz="0" w:space="0" w:color="auto"/>
        <w:right w:val="none" w:sz="0" w:space="0" w:color="auto"/>
      </w:divBdr>
    </w:div>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97467741CB98040970A6DBBC195775F" ma:contentTypeVersion="" ma:contentTypeDescription="צור מסמך חדש." ma:contentTypeScope="" ma:versionID="6e55fc6acbead604c2f45a2c1dd20751">
  <xsd:schema xmlns:xsd="http://www.w3.org/2001/XMLSchema" xmlns:xs="http://www.w3.org/2001/XMLSchema" xmlns:p="http://schemas.microsoft.com/office/2006/metadata/properties" targetNamespace="http://schemas.microsoft.com/office/2006/metadata/properties" ma:root="true" ma:fieldsID="095a2728251a2ce93c0626b1f2c5b5f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89FB-6EE7-495E-A2BE-857884EE5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3.xml><?xml version="1.0" encoding="utf-8"?>
<ds:datastoreItem xmlns:ds="http://schemas.openxmlformats.org/officeDocument/2006/customXml" ds:itemID="{88F4AFE3-9455-419C-8851-785A55F4451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DA90847-EDF3-45ED-9988-043E5C4A2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595</Words>
  <Characters>2979</Characters>
  <Application>Microsoft Office Word</Application>
  <DocSecurity>0</DocSecurity>
  <Lines>24</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דפנה ברנאי</cp:lastModifiedBy>
  <cp:revision>8</cp:revision>
  <cp:lastPrinted>2019-05-23T06:16:00Z</cp:lastPrinted>
  <dcterms:created xsi:type="dcterms:W3CDTF">2015-04-20T09:58:00Z</dcterms:created>
  <dcterms:modified xsi:type="dcterms:W3CDTF">2019-05-23T06:17:00Z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0x010100697467741CB98040970A6DBBC195775F</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2079231</vt:r8>
  </property>
</Properties>
</file>