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2078976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ואחת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מאיר כהן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יעל גרמן</w:t>
      </w:r>
      <w:bookmarkEnd w:id="3"/>
    </w:p>
    <w:p w14:paraId="7F6961AA" w14:textId="39F9D96B" w:rsidR="00E13C27" w:rsidRPr="00CF1AA2" w:rsidRDefault="007D585A" w:rsidP="0036422C">
      <w:pPr>
        <w:pStyle w:val="David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14AA5902" w:rsidR="00E13C27" w:rsidRPr="00E06736" w:rsidRDefault="00904591" w:rsidP="00904591">
      <w:pPr>
        <w:pStyle w:val="David"/>
        <w:spacing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 w:rsidR="007E4F9F">
        <w:rPr>
          <w:rtl/>
        </w:rPr>
        <w:tab/>
      </w:r>
      <w:r>
        <w:rPr>
          <w:rFonts w:hint="cs"/>
          <w:rtl/>
        </w:rPr>
        <w:t>פ/221/21</w:t>
      </w:r>
      <w:bookmarkEnd w:id="6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שוויון זכויות לאנשים עם מוגבלות (תיקון – מניעת הפליה במחיר של שירות ציבורי או מוצר שהם נגישים), </w:t>
      </w:r>
      <w:proofErr w:type="spellStart"/>
      <w:r>
        <w:rPr>
          <w:rFonts w:hint="cs"/>
          <w:rtl/>
        </w:rPr>
        <w:t>התשע"ט</w:t>
      </w:r>
      <w:proofErr w:type="spellEnd"/>
      <w:r>
        <w:rPr>
          <w:rFonts w:hint="cs"/>
          <w:rtl/>
        </w:rPr>
        <w:t>–2019</w:t>
      </w:r>
      <w:bookmarkEnd w:id="7"/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005BBB" w:rsidRPr="00EC54E2" w14:paraId="720CB4CE" w14:textId="77777777" w:rsidTr="000E7EF0">
        <w:trPr>
          <w:cantSplit/>
        </w:trPr>
        <w:tc>
          <w:tcPr>
            <w:tcW w:w="1871" w:type="dxa"/>
          </w:tcPr>
          <w:p w14:paraId="1FE766A8" w14:textId="77777777" w:rsidR="00005BBB" w:rsidRDefault="00005BBB" w:rsidP="00F21D0B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19ו</w:t>
            </w:r>
          </w:p>
        </w:tc>
        <w:tc>
          <w:tcPr>
            <w:tcW w:w="624" w:type="dxa"/>
          </w:tcPr>
          <w:p w14:paraId="0B59F6D4" w14:textId="77777777" w:rsidR="00005BBB" w:rsidRDefault="00005BBB" w:rsidP="00F21D0B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</w:tcPr>
          <w:p w14:paraId="155ED48C" w14:textId="77777777" w:rsidR="00005BBB" w:rsidRPr="003A515C" w:rsidRDefault="00005BBB" w:rsidP="003A515C">
            <w:pPr>
              <w:pStyle w:val="TableBlock"/>
            </w:pPr>
            <w:r w:rsidRPr="003A515C">
              <w:rPr>
                <w:rFonts w:hint="cs"/>
                <w:rtl/>
              </w:rPr>
              <w:t xml:space="preserve">בחוק שוויון זכויות לאנשים עם מוגבלות, </w:t>
            </w:r>
            <w:proofErr w:type="spellStart"/>
            <w:r w:rsidRPr="003A515C">
              <w:rPr>
                <w:rFonts w:hint="cs"/>
                <w:rtl/>
              </w:rPr>
              <w:t>התשנ"ח</w:t>
            </w:r>
            <w:proofErr w:type="spellEnd"/>
            <w:r w:rsidRPr="003A515C">
              <w:rPr>
                <w:rFonts w:hint="eastAsia"/>
                <w:rtl/>
              </w:rPr>
              <w:t>–</w:t>
            </w:r>
            <w:r w:rsidRPr="003A515C">
              <w:rPr>
                <w:rFonts w:hint="cs"/>
                <w:rtl/>
              </w:rPr>
              <w:t>1998</w:t>
            </w:r>
            <w:r w:rsidRPr="003A515C">
              <w:rPr>
                <w:rtl/>
              </w:rPr>
              <w:footnoteReference w:id="2"/>
            </w:r>
            <w:r w:rsidRPr="003A515C">
              <w:rPr>
                <w:rFonts w:hint="cs"/>
                <w:rtl/>
              </w:rPr>
              <w:t xml:space="preserve">, בסעיף 19ו(א),  אחרי פסקה (3) יבוא: </w:t>
            </w:r>
          </w:p>
        </w:tc>
      </w:tr>
      <w:tr w:rsidR="00005BBB" w:rsidRPr="00632632" w14:paraId="27378DD9" w14:textId="77777777" w:rsidTr="000E7EF0">
        <w:trPr>
          <w:cantSplit/>
        </w:trPr>
        <w:tc>
          <w:tcPr>
            <w:tcW w:w="1871" w:type="dxa"/>
          </w:tcPr>
          <w:p w14:paraId="6C813AA5" w14:textId="77777777" w:rsidR="00005BBB" w:rsidRPr="00632632" w:rsidRDefault="00005BBB" w:rsidP="00F21D0B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34B3B6DD" w14:textId="77777777" w:rsidR="00005BBB" w:rsidRDefault="00005BBB" w:rsidP="00F21D0B">
            <w:pPr>
              <w:pStyle w:val="TableText"/>
              <w:keepLines w:val="0"/>
            </w:pPr>
          </w:p>
        </w:tc>
        <w:tc>
          <w:tcPr>
            <w:tcW w:w="7143" w:type="dxa"/>
          </w:tcPr>
          <w:p w14:paraId="6D7B1DEA" w14:textId="77777777" w:rsidR="00005BBB" w:rsidRPr="00632632" w:rsidRDefault="00005BBB" w:rsidP="000E7EF0">
            <w:pPr>
              <w:pStyle w:val="TableBlock"/>
            </w:pPr>
            <w:r>
              <w:rPr>
                <w:rFonts w:hint="cs"/>
                <w:rtl/>
              </w:rPr>
              <w:t>"(4)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לא ידרוש ולא יגבה תשלום שונה בעד מתן שירות ציבורי או הספקת מוצר, שהם נגישים או שבוצעו לגביהם התאמות נגישות." 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56828A74" w14:textId="77777777" w:rsidR="00005BBB" w:rsidRPr="00A11CE3" w:rsidRDefault="00005BBB" w:rsidP="00005BBB">
      <w:pPr>
        <w:pStyle w:val="Hesber"/>
        <w:rPr>
          <w:rtl/>
        </w:rPr>
      </w:pPr>
      <w:r w:rsidRPr="00A11CE3">
        <w:rPr>
          <w:rFonts w:hint="cs"/>
          <w:rtl/>
        </w:rPr>
        <w:t xml:space="preserve">על פי </w:t>
      </w:r>
      <w:r>
        <w:rPr>
          <w:rFonts w:hint="cs"/>
          <w:rtl/>
        </w:rPr>
        <w:t xml:space="preserve">חוק שוויון זכויות לאנשים עם מוגבלות, </w:t>
      </w:r>
      <w:proofErr w:type="spellStart"/>
      <w:r>
        <w:rPr>
          <w:rFonts w:hint="cs"/>
          <w:rtl/>
        </w:rPr>
        <w:t>התשנ"ח</w:t>
      </w:r>
      <w:proofErr w:type="spellEnd"/>
      <w:r>
        <w:rPr>
          <w:rFonts w:hint="eastAsia"/>
          <w:rtl/>
        </w:rPr>
        <w:t>–</w:t>
      </w:r>
      <w:r>
        <w:rPr>
          <w:rFonts w:hint="cs"/>
          <w:rtl/>
        </w:rPr>
        <w:t>1998</w:t>
      </w:r>
      <w:r w:rsidRPr="00A11CE3">
        <w:rPr>
          <w:rFonts w:hint="cs"/>
          <w:rtl/>
        </w:rPr>
        <w:t>, כל בית מלון, פנסיון, אכסניה, בית הארחה וכל מקום המספק שירותי אירוח ולינה מחויב לס</w:t>
      </w:r>
      <w:r>
        <w:rPr>
          <w:rFonts w:hint="cs"/>
          <w:rtl/>
        </w:rPr>
        <w:t>פק חדר המותאם לאנשים עם מוגבלות. ואולם,</w:t>
      </w:r>
      <w:r w:rsidRPr="00A11CE3">
        <w:rPr>
          <w:rFonts w:hint="cs"/>
          <w:rtl/>
        </w:rPr>
        <w:t xml:space="preserve"> המחיר אותו דורשים בעלי בתי המלון ע</w:t>
      </w:r>
      <w:r>
        <w:rPr>
          <w:rFonts w:hint="cs"/>
          <w:rtl/>
        </w:rPr>
        <w:t>בור</w:t>
      </w:r>
      <w:r w:rsidRPr="00A11CE3">
        <w:rPr>
          <w:rFonts w:hint="cs"/>
          <w:rtl/>
        </w:rPr>
        <w:t xml:space="preserve"> חדר נגיש </w:t>
      </w:r>
      <w:r>
        <w:rPr>
          <w:rFonts w:hint="cs"/>
          <w:rtl/>
        </w:rPr>
        <w:t xml:space="preserve">כאמור </w:t>
      </w:r>
      <w:r w:rsidRPr="00A11CE3">
        <w:rPr>
          <w:rFonts w:hint="cs"/>
          <w:rtl/>
        </w:rPr>
        <w:t>לרוב גבוה יותר ממחירו של חדר שאינו נגיש. יודגש כי חדר נגיש אינו מציע תנאים תיירותיים</w:t>
      </w:r>
      <w:r>
        <w:rPr>
          <w:rFonts w:hint="cs"/>
          <w:rtl/>
        </w:rPr>
        <w:t xml:space="preserve"> גבוהים מאלה שמוצעים בחדר סטנדרטי, לכן</w:t>
      </w:r>
      <w:r w:rsidRPr="00A11CE3">
        <w:rPr>
          <w:rFonts w:hint="cs"/>
          <w:rtl/>
        </w:rPr>
        <w:t xml:space="preserve"> מצב זה מגביר את ההפליה כנגד אנשים עם מוגבלות.</w:t>
      </w:r>
    </w:p>
    <w:p w14:paraId="69066612" w14:textId="77777777" w:rsidR="00005BBB" w:rsidRDefault="00005BBB" w:rsidP="00005BBB">
      <w:pPr>
        <w:pStyle w:val="Hesber"/>
        <w:rPr>
          <w:rtl/>
        </w:rPr>
      </w:pPr>
      <w:r w:rsidRPr="00A11CE3">
        <w:rPr>
          <w:rFonts w:hint="cs"/>
          <w:rtl/>
        </w:rPr>
        <w:t xml:space="preserve">מוצע לקבוע כי כל מקום המספק </w:t>
      </w:r>
      <w:r>
        <w:rPr>
          <w:rFonts w:hint="cs"/>
          <w:rtl/>
        </w:rPr>
        <w:t>שירות ציבורי או מוצר נגיש</w:t>
      </w:r>
      <w:r w:rsidRPr="00A11CE3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לאנשים עם מוגבלות, </w:t>
      </w:r>
      <w:r w:rsidRPr="00A11CE3">
        <w:rPr>
          <w:rFonts w:hint="cs"/>
          <w:rtl/>
        </w:rPr>
        <w:t xml:space="preserve">יחויב לספק </w:t>
      </w:r>
      <w:r>
        <w:rPr>
          <w:rFonts w:hint="cs"/>
          <w:rtl/>
        </w:rPr>
        <w:t xml:space="preserve">את אותו שירות או מוצר ללא תוספת תשלום, ובמחיר זהה למוצר שאינו נגיש. כך גם לגבי </w:t>
      </w:r>
      <w:r w:rsidRPr="00A11CE3">
        <w:rPr>
          <w:rFonts w:hint="cs"/>
          <w:rtl/>
        </w:rPr>
        <w:t>חדר נגיש</w:t>
      </w:r>
      <w:r>
        <w:rPr>
          <w:rFonts w:hint="cs"/>
          <w:rtl/>
        </w:rPr>
        <w:t xml:space="preserve"> בבית מלון.</w:t>
      </w:r>
      <w:r w:rsidRPr="00A11CE3">
        <w:rPr>
          <w:rFonts w:hint="cs"/>
          <w:rtl/>
        </w:rPr>
        <w:t xml:space="preserve"> הצעת החוק לא </w:t>
      </w:r>
      <w:r>
        <w:rPr>
          <w:rFonts w:hint="cs"/>
          <w:rtl/>
        </w:rPr>
        <w:t>נועדה לשלול</w:t>
      </w:r>
      <w:r w:rsidRPr="00A11CE3">
        <w:rPr>
          <w:rFonts w:hint="cs"/>
          <w:rtl/>
        </w:rPr>
        <w:t xml:space="preserve"> את האפשרות כי אנשים עם מוגבלות יוכלו לבחור לשדרג את החדר המותאם לחדר ברמה גבוהה יותר ובהתאם במחיר גבוה יותר, אך על בית המלו</w:t>
      </w:r>
      <w:r>
        <w:rPr>
          <w:rFonts w:hint="cs"/>
          <w:rtl/>
        </w:rPr>
        <w:t xml:space="preserve">ן לאפשר לאנשים בעלי </w:t>
      </w:r>
      <w:r w:rsidRPr="00A11CE3">
        <w:rPr>
          <w:rFonts w:hint="cs"/>
          <w:rtl/>
        </w:rPr>
        <w:t>מוגבלות את האפשרות לשכור חדר במחיר הנמוך ביותר של חדר סטנדרטי באותו בית המלון.</w:t>
      </w:r>
    </w:p>
    <w:p w14:paraId="615B2122" w14:textId="3B8D1855" w:rsidR="007675C2" w:rsidRDefault="007675C2" w:rsidP="00320C8F">
      <w:pPr>
        <w:pStyle w:val="Hesber"/>
        <w:rPr>
          <w:rtl/>
        </w:rPr>
      </w:pPr>
      <w:r>
        <w:rPr>
          <w:rFonts w:hint="cs"/>
          <w:rtl/>
        </w:rPr>
        <w:t>הצעת</w:t>
      </w:r>
      <w:r w:rsidR="00320C8F">
        <w:rPr>
          <w:rFonts w:hint="cs"/>
          <w:rtl/>
        </w:rPr>
        <w:t xml:space="preserve"> חוק זהה הונחה על שולחן הכנסת העשרים</w:t>
      </w:r>
      <w:bookmarkStart w:id="8" w:name="_GoBack"/>
      <w:bookmarkEnd w:id="8"/>
      <w:r>
        <w:rPr>
          <w:rFonts w:hint="cs"/>
          <w:rtl/>
        </w:rPr>
        <w:t xml:space="preserve"> על ידי חבר הכנסת מאיר כהן וקבוצת חברי הכנסת (פ/4315/20). </w:t>
      </w:r>
    </w:p>
    <w:p w14:paraId="527749CD" w14:textId="77777777" w:rsidR="003A515C" w:rsidRDefault="003A515C" w:rsidP="00320C8F">
      <w:pPr>
        <w:pStyle w:val="Hesber"/>
        <w:spacing w:line="240" w:lineRule="auto"/>
        <w:rPr>
          <w:rtl/>
        </w:rPr>
      </w:pPr>
      <w:r>
        <w:rPr>
          <w:rtl/>
        </w:rPr>
        <w:t>---------------------------------</w:t>
      </w:r>
    </w:p>
    <w:p w14:paraId="45572313" w14:textId="77777777" w:rsidR="003A515C" w:rsidRDefault="003A515C" w:rsidP="00320C8F">
      <w:pPr>
        <w:pStyle w:val="Hesber"/>
        <w:spacing w:line="240" w:lineRule="auto"/>
        <w:rPr>
          <w:rtl/>
        </w:rPr>
      </w:pPr>
      <w:r>
        <w:rPr>
          <w:rtl/>
        </w:rPr>
        <w:t>הוגשה ליו"ר הכנסת והסגנים</w:t>
      </w:r>
    </w:p>
    <w:p w14:paraId="3AE9756E" w14:textId="77777777" w:rsidR="003A515C" w:rsidRDefault="003A515C" w:rsidP="00320C8F">
      <w:pPr>
        <w:pStyle w:val="Hesber"/>
        <w:spacing w:line="240" w:lineRule="auto"/>
        <w:rPr>
          <w:rtl/>
        </w:rPr>
      </w:pPr>
      <w:r>
        <w:rPr>
          <w:rtl/>
        </w:rPr>
        <w:t>והונחה על שולחן הכנסת ביום</w:t>
      </w:r>
    </w:p>
    <w:p w14:paraId="7F6961CB" w14:textId="1385108C" w:rsidR="00E13C27" w:rsidRDefault="003A515C" w:rsidP="00320C8F">
      <w:pPr>
        <w:pStyle w:val="Hesber"/>
        <w:spacing w:line="240" w:lineRule="auto"/>
        <w:rPr>
          <w:rtl/>
        </w:rPr>
      </w:pPr>
      <w:r>
        <w:rPr>
          <w:rtl/>
        </w:rPr>
        <w:t xml:space="preserve">כ"ב באייר </w:t>
      </w:r>
      <w:proofErr w:type="spellStart"/>
      <w:r>
        <w:rPr>
          <w:rtl/>
        </w:rPr>
        <w:t>התשע"ט</w:t>
      </w:r>
      <w:proofErr w:type="spellEnd"/>
      <w:r>
        <w:rPr>
          <w:rtl/>
        </w:rPr>
        <w:t xml:space="preserve"> - 27.5.19  </w:t>
      </w:r>
    </w:p>
    <w:sectPr w:rsidR="00E13C27" w:rsidSect="00320C8F">
      <w:footerReference w:type="even" r:id="rId11"/>
      <w:footerReference w:type="default" r:id="rId12"/>
      <w:pgSz w:w="11907" w:h="16840" w:code="9"/>
      <w:pgMar w:top="1276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320C8F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0E7EF0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194990C8" w14:textId="77777777" w:rsidR="00005BBB" w:rsidRDefault="00005BBB" w:rsidP="00005BBB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התשנ"ח</w:t>
      </w:r>
      <w:proofErr w:type="spellEnd"/>
      <w:r>
        <w:rPr>
          <w:rFonts w:hint="cs"/>
          <w:rtl/>
        </w:rPr>
        <w:t>, עמ' 152.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5BBB"/>
    <w:rsid w:val="00015B27"/>
    <w:rsid w:val="00063A3E"/>
    <w:rsid w:val="00072CAC"/>
    <w:rsid w:val="0007681A"/>
    <w:rsid w:val="000A542E"/>
    <w:rsid w:val="000E7EF0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0C8F"/>
    <w:rsid w:val="003232A2"/>
    <w:rsid w:val="00325C14"/>
    <w:rsid w:val="0036422C"/>
    <w:rsid w:val="003710F6"/>
    <w:rsid w:val="00386E88"/>
    <w:rsid w:val="00396585"/>
    <w:rsid w:val="003A515C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675C2"/>
    <w:rsid w:val="0078664F"/>
    <w:rsid w:val="007A27CE"/>
    <w:rsid w:val="007C3FA6"/>
    <w:rsid w:val="007D585A"/>
    <w:rsid w:val="007D5A12"/>
    <w:rsid w:val="007E4F9F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42D3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8F3D89A7-41D1-4E7E-9EA1-8A554C2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F0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EF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0E7EF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0E7EF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0E7EF0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E7EF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0E7EF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0E7EF0"/>
    <w:rPr>
      <w:sz w:val="36"/>
      <w:szCs w:val="52"/>
    </w:rPr>
  </w:style>
  <w:style w:type="paragraph" w:customStyle="1" w:styleId="Cover3-Haknesset">
    <w:name w:val="Cover 3-Haknesset"/>
    <w:basedOn w:val="Cover1-Reshumot"/>
    <w:rsid w:val="000E7EF0"/>
    <w:rPr>
      <w:b/>
      <w:bCs/>
      <w:spacing w:val="60"/>
    </w:rPr>
  </w:style>
  <w:style w:type="paragraph" w:customStyle="1" w:styleId="Cover4-Date">
    <w:name w:val="Cover 4-Date"/>
    <w:basedOn w:val="a"/>
    <w:rsid w:val="000E7EF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0E7EF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0E7EF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0E7EF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0E7EF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0E7EF0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0E7EF0"/>
    <w:pPr>
      <w:outlineLvl w:val="2"/>
    </w:pPr>
  </w:style>
  <w:style w:type="paragraph" w:customStyle="1" w:styleId="TableBlock">
    <w:name w:val="Table Block"/>
    <w:basedOn w:val="TableText"/>
    <w:rsid w:val="000E7EF0"/>
    <w:pPr>
      <w:jc w:val="both"/>
    </w:pPr>
  </w:style>
  <w:style w:type="paragraph" w:customStyle="1" w:styleId="TableHead">
    <w:name w:val="Table Head"/>
    <w:basedOn w:val="TableText"/>
    <w:rsid w:val="000E7EF0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0E7EF0"/>
    <w:pPr>
      <w:outlineLvl w:val="9"/>
    </w:pPr>
  </w:style>
  <w:style w:type="paragraph" w:customStyle="1" w:styleId="Hesber">
    <w:name w:val="Hesber"/>
    <w:basedOn w:val="a"/>
    <w:rsid w:val="000E7EF0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0E7EF0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0E7EF0"/>
    <w:rPr>
      <w:vertAlign w:val="superscript"/>
    </w:rPr>
  </w:style>
  <w:style w:type="paragraph" w:customStyle="1" w:styleId="HesberHeading">
    <w:name w:val="Hesber Heading"/>
    <w:basedOn w:val="Hesber"/>
    <w:rsid w:val="000E7EF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0E7EF0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0E7EF0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0E7EF0"/>
    <w:rPr>
      <w:vertAlign w:val="superscript"/>
    </w:rPr>
  </w:style>
  <w:style w:type="paragraph" w:customStyle="1" w:styleId="TableBlockOutdent">
    <w:name w:val="Table BlockOutdent"/>
    <w:basedOn w:val="TableBlock"/>
    <w:rsid w:val="000E7EF0"/>
    <w:pPr>
      <w:ind w:left="624" w:hanging="624"/>
    </w:pPr>
  </w:style>
  <w:style w:type="paragraph" w:styleId="a7">
    <w:name w:val="header"/>
    <w:basedOn w:val="a"/>
    <w:rsid w:val="000E7EF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E7EF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0E7EF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0E7EF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0E7EF0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10">
    <w:name w:val="כותרת 1 תו"/>
    <w:basedOn w:val="a0"/>
    <w:link w:val="1"/>
    <w:uiPriority w:val="9"/>
    <w:rsid w:val="000E7EF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0E7EF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0E7EF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0E7EF0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0E7EF0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0E7EF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E7EF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0E7EF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0E7EF0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0E7EF0"/>
    <w:pPr>
      <w:numPr>
        <w:numId w:val="21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0E7EF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0E7EF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0E7EF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0E7EF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0E7EF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0E7EF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0E7EF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0E7EF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0E7EF0"/>
    <w:rPr>
      <w:rFonts w:eastAsia="Times New Roman"/>
    </w:rPr>
  </w:style>
  <w:style w:type="paragraph" w:styleId="ae">
    <w:name w:val="List Paragraph"/>
    <w:basedOn w:val="a"/>
    <w:uiPriority w:val="34"/>
    <w:qFormat/>
    <w:rsid w:val="000E7EF0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0E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0E7E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0E7E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0E7EF0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0E7EF0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97467741CB98040970A6DBBC195775F" ma:contentTypeVersion="" ma:contentTypeDescription="צור מסמך חדש." ma:contentTypeScope="" ma:versionID="6e55fc6acbead604c2f45a2c1dd207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D5CB6-499B-4AC3-9229-180ED7E7C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F3D26-05DB-451A-A17A-25C4811A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9</cp:revision>
  <cp:lastPrinted>2019-04-30T13:54:00Z</cp:lastPrinted>
  <dcterms:created xsi:type="dcterms:W3CDTF">2015-04-20T09:58:00Z</dcterms:created>
  <dcterms:modified xsi:type="dcterms:W3CDTF">2019-05-21T08:11:00Z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0x010100697467741CB98040970A6DBBC195775F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2078976</vt:r8>
  </property>
</Properties>
</file>