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E635A2" w:rsidRDefault="004033D8" w:rsidP="00E635A2">
      <w:pPr>
        <w:jc w:val="right"/>
        <w:rPr>
          <w:b/>
          <w:bCs/>
          <w:sz w:val="20"/>
          <w:szCs w:val="20"/>
        </w:rPr>
      </w:pPr>
      <w:r w:rsidRPr="00E635A2">
        <w:rPr>
          <w:rFonts w:hint="cs"/>
          <w:sz w:val="2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sz w:val="20"/>
          <w:szCs w:val="20"/>
          <w:rtl/>
        </w:rPr>
        <w:t>2078970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 ואחת</w:t>
      </w:r>
      <w:bookmarkEnd w:id="1"/>
    </w:p>
    <w:p w14:paraId="7F6961A3" w14:textId="77777777" w:rsidR="00E13C27" w:rsidRPr="00F67051" w:rsidRDefault="00E13C27" w:rsidP="00E13C27">
      <w:pPr>
        <w:rPr>
          <w:b/>
          <w:bCs/>
          <w:sz w:val="26"/>
          <w:szCs w:val="26"/>
          <w:rtl/>
        </w:rPr>
      </w:pPr>
    </w:p>
    <w:p w14:paraId="7F6961AA" w14:textId="1536668E" w:rsidR="00E13C27" w:rsidRPr="00CF1AA2" w:rsidRDefault="008F6665" w:rsidP="00ED454D">
      <w:pPr>
        <w:pStyle w:val="David"/>
        <w:ind w:left="3544"/>
        <w:rPr>
          <w:b/>
          <w:bCs/>
          <w:sz w:val="16"/>
          <w:szCs w:val="16"/>
          <w:rtl/>
        </w:rPr>
      </w:pPr>
      <w:bookmarkStart w:id="2" w:name="LGS_Initiators_List"/>
      <w:r>
        <w:rPr>
          <w:b/>
          <w:bCs/>
          <w:rtl/>
        </w:rPr>
        <w:t>יוזמים:      חברי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יעקב אשר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משה גפני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אורי מקלב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 xml:space="preserve">יצחק </w:t>
      </w:r>
      <w:proofErr w:type="spellStart"/>
      <w:r>
        <w:rPr>
          <w:rFonts w:hint="cs"/>
          <w:b/>
          <w:bCs/>
          <w:rtl/>
        </w:rPr>
        <w:t>פינדרוס</w:t>
      </w:r>
      <w:bookmarkStart w:id="4" w:name="LGS_Join_List"/>
      <w:bookmarkEnd w:id="3"/>
      <w:proofErr w:type="spellEnd"/>
      <w:r w:rsidR="007D585A">
        <w:rPr>
          <w:rtl/>
        </w:rPr>
        <w:t xml:space="preserve"> </w:t>
      </w:r>
      <w:bookmarkEnd w:id="4"/>
      <w:r w:rsidR="002200A1" w:rsidRPr="00CF1AA2">
        <w:rPr>
          <w:rFonts w:hint="cs"/>
          <w:rtl/>
        </w:rPr>
        <w:tab/>
      </w:r>
      <w:bookmarkStart w:id="5" w:name="LGS_PM_NamesJoin"/>
      <w:r w:rsidR="007D585A">
        <w:rPr>
          <w:rFonts w:hint="cs"/>
          <w:rtl/>
        </w:rPr>
        <w:t xml:space="preserve"> </w:t>
      </w:r>
      <w:bookmarkEnd w:id="5"/>
    </w:p>
    <w:p w14:paraId="34DB4103" w14:textId="77777777" w:rsidR="00904591" w:rsidRPr="00904591" w:rsidRDefault="00266D86" w:rsidP="0036422C">
      <w:pPr>
        <w:pStyle w:val="David"/>
        <w:ind w:left="3544"/>
        <w:rPr>
          <w:rFonts w:hint="cs"/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B" w14:textId="64EBDC78" w:rsidR="00E13C27" w:rsidRPr="00E06736" w:rsidRDefault="00904591" w:rsidP="00904591">
      <w:pPr>
        <w:pStyle w:val="David"/>
        <w:spacing w:line="240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id="6" w:name="Private_Number"/>
      <w:r w:rsidR="00ED454D">
        <w:rPr>
          <w:rtl/>
        </w:rPr>
        <w:tab/>
      </w:r>
      <w:r>
        <w:rPr>
          <w:rFonts w:hint="cs"/>
          <w:rtl/>
        </w:rPr>
        <w:t>פ/286/21</w:t>
      </w:r>
      <w:bookmarkEnd w:id="6"/>
    </w:p>
    <w:p w14:paraId="7F6961AD" w14:textId="77777777" w:rsidR="00E13C27" w:rsidRPr="00F67051" w:rsidRDefault="00A443CF" w:rsidP="0021633A">
      <w:pPr>
        <w:pStyle w:val="HeadHatzaotHok"/>
        <w:rPr>
          <w:rtl/>
        </w:rPr>
      </w:pPr>
      <w:bookmarkStart w:id="7" w:name="LGS_Subject"/>
      <w:r>
        <w:rPr>
          <w:rFonts w:hint="cs"/>
          <w:rtl/>
        </w:rPr>
        <w:t xml:space="preserve">הצעת חוק הסעה בטיחותית לילדים ולפעוטות עם מוגבלות (תיקון – הרחבת ההגדרה מוסד חינוך), </w:t>
      </w:r>
      <w:proofErr w:type="spellStart"/>
      <w:r>
        <w:rPr>
          <w:rFonts w:hint="cs"/>
          <w:rtl/>
        </w:rPr>
        <w:t>התשע"ט</w:t>
      </w:r>
      <w:proofErr w:type="spellEnd"/>
      <w:r>
        <w:rPr>
          <w:rFonts w:hint="cs"/>
          <w:rtl/>
        </w:rPr>
        <w:t>–2019</w:t>
      </w:r>
      <w:bookmarkEnd w:id="7"/>
    </w:p>
    <w:tbl>
      <w:tblPr>
        <w:bidiVisual/>
        <w:tblW w:w="9639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624"/>
        <w:gridCol w:w="7143"/>
      </w:tblGrid>
      <w:tr w:rsidR="00071850" w:rsidRPr="003C1902" w14:paraId="48983D0C" w14:textId="77777777" w:rsidTr="00C54BBB">
        <w:trPr>
          <w:cantSplit/>
        </w:trPr>
        <w:tc>
          <w:tcPr>
            <w:tcW w:w="1872" w:type="dxa"/>
            <w:hideMark/>
          </w:tcPr>
          <w:p w14:paraId="4F207CBE" w14:textId="77777777" w:rsidR="00071850" w:rsidRPr="00A15EF2" w:rsidRDefault="00071850" w:rsidP="007B1D6D">
            <w:pPr>
              <w:pStyle w:val="TableSideHeading"/>
              <w:rPr>
                <w:rtl/>
              </w:rPr>
            </w:pPr>
            <w:r>
              <w:rPr>
                <w:rFonts w:hint="cs"/>
                <w:rtl/>
              </w:rPr>
              <w:t xml:space="preserve">תיקון </w:t>
            </w:r>
            <w:r w:rsidRPr="00E042B2">
              <w:rPr>
                <w:rFonts w:hint="eastAsia"/>
                <w:rtl/>
              </w:rPr>
              <w:t>סעיף</w:t>
            </w:r>
            <w:r>
              <w:rPr>
                <w:rFonts w:hint="cs"/>
                <w:rtl/>
              </w:rPr>
              <w:t xml:space="preserve"> 1</w:t>
            </w:r>
          </w:p>
        </w:tc>
        <w:tc>
          <w:tcPr>
            <w:tcW w:w="624" w:type="dxa"/>
            <w:hideMark/>
          </w:tcPr>
          <w:p w14:paraId="2C5E599E" w14:textId="77777777" w:rsidR="00071850" w:rsidRPr="002B66F6" w:rsidRDefault="00071850" w:rsidP="007B1D6D">
            <w:pPr>
              <w:pStyle w:val="TableText"/>
              <w:jc w:val="both"/>
            </w:pPr>
            <w:r w:rsidRPr="002B66F6">
              <w:rPr>
                <w:rtl/>
              </w:rPr>
              <w:t>1.</w:t>
            </w:r>
          </w:p>
        </w:tc>
        <w:tc>
          <w:tcPr>
            <w:tcW w:w="7143" w:type="dxa"/>
            <w:hideMark/>
          </w:tcPr>
          <w:p w14:paraId="3AA0DF03" w14:textId="77777777" w:rsidR="00071850" w:rsidRPr="003C1902" w:rsidRDefault="00071850" w:rsidP="00C54BBB">
            <w:pPr>
              <w:pStyle w:val="TableBlock"/>
            </w:pPr>
            <w:r w:rsidRPr="003C1902">
              <w:rPr>
                <w:rFonts w:hint="cs"/>
                <w:rtl/>
              </w:rPr>
              <w:t xml:space="preserve">בחוק הסעה </w:t>
            </w:r>
            <w:r w:rsidRPr="003C1902">
              <w:rPr>
                <w:rtl/>
              </w:rPr>
              <w:t>בטיחותית לילדים ולפעוטות עם מוגבלות</w:t>
            </w:r>
            <w:r>
              <w:rPr>
                <w:rFonts w:hint="cs"/>
                <w:rtl/>
              </w:rPr>
              <w:t xml:space="preserve">, </w:t>
            </w:r>
            <w:proofErr w:type="spellStart"/>
            <w:r>
              <w:rPr>
                <w:rFonts w:hint="cs"/>
                <w:rtl/>
              </w:rPr>
              <w:t>התשנ"ד</w:t>
            </w:r>
            <w:proofErr w:type="spellEnd"/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1994</w:t>
            </w:r>
            <w:r w:rsidRPr="00C54BBB">
              <w:rPr>
                <w:rFonts w:ascii="David" w:hAnsi="David"/>
                <w:sz w:val="26"/>
                <w:vertAlign w:val="superscript"/>
                <w:rtl/>
              </w:rPr>
              <w:footnoteReference w:id="2"/>
            </w:r>
            <w:r>
              <w:rPr>
                <w:rFonts w:hint="cs"/>
                <w:rtl/>
              </w:rPr>
              <w:t xml:space="preserve">, בסעיף 1, בהגדרה "מוסד חינוך", המילה "מוכר"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תימחק.</w:t>
            </w:r>
          </w:p>
        </w:tc>
      </w:tr>
    </w:tbl>
    <w:p w14:paraId="7F6961CA" w14:textId="77777777" w:rsidR="002D1EE3" w:rsidRPr="00E45247" w:rsidRDefault="002D1EE3" w:rsidP="00E45247">
      <w:pPr>
        <w:pStyle w:val="HeadDivreiHesber"/>
        <w:rPr>
          <w:rtl/>
        </w:rPr>
      </w:pPr>
      <w:r w:rsidRPr="00E45247">
        <w:rPr>
          <w:rFonts w:hint="cs"/>
          <w:rtl/>
        </w:rPr>
        <w:t>דברי הסבר</w:t>
      </w:r>
    </w:p>
    <w:p w14:paraId="76162073" w14:textId="77777777" w:rsidR="00071850" w:rsidRPr="00E45247" w:rsidRDefault="00071850" w:rsidP="00ED454D">
      <w:pPr>
        <w:pStyle w:val="Hesber"/>
        <w:spacing w:line="276" w:lineRule="auto"/>
        <w:rPr>
          <w:rtl/>
        </w:rPr>
      </w:pPr>
      <w:r w:rsidRPr="00E45247">
        <w:rPr>
          <w:rtl/>
        </w:rPr>
        <w:t xml:space="preserve">הזכות לחינוך נמנית עם הזכויות החברתיות </w:t>
      </w:r>
      <w:r w:rsidRPr="00E45247">
        <w:rPr>
          <w:rFonts w:hint="eastAsia"/>
          <w:rtl/>
        </w:rPr>
        <w:t>הבסיסיות</w:t>
      </w:r>
      <w:r w:rsidRPr="00E45247">
        <w:rPr>
          <w:rtl/>
        </w:rPr>
        <w:t xml:space="preserve"> ואף </w:t>
      </w:r>
      <w:r w:rsidRPr="00E45247">
        <w:rPr>
          <w:rFonts w:hint="eastAsia"/>
          <w:rtl/>
        </w:rPr>
        <w:t>קיבלה</w:t>
      </w:r>
      <w:r w:rsidRPr="00E45247">
        <w:rPr>
          <w:rtl/>
        </w:rPr>
        <w:t xml:space="preserve"> הכרה בהכרז</w:t>
      </w:r>
      <w:r w:rsidRPr="00E45247">
        <w:rPr>
          <w:rFonts w:hint="eastAsia"/>
          <w:rtl/>
        </w:rPr>
        <w:t>ת</w:t>
      </w:r>
      <w:r w:rsidRPr="00E45247">
        <w:rPr>
          <w:rtl/>
        </w:rPr>
        <w:t xml:space="preserve"> זכויות האדם שאימץ האו"ם בשנת 1948. זכות זו נקבעה גם באמנה הבין-לאומית בדבר זכויות הילד, והיא מעוגנת בחוק זכויות התלמיד, </w:t>
      </w:r>
      <w:proofErr w:type="spellStart"/>
      <w:r w:rsidRPr="00E45247">
        <w:rPr>
          <w:rtl/>
        </w:rPr>
        <w:t>התשס"א</w:t>
      </w:r>
      <w:proofErr w:type="spellEnd"/>
      <w:r w:rsidRPr="00E45247">
        <w:rPr>
          <w:rtl/>
        </w:rPr>
        <w:t xml:space="preserve">–2000, ולפיו </w:t>
      </w:r>
      <w:r w:rsidRPr="00E45247">
        <w:rPr>
          <w:rFonts w:hint="cs"/>
          <w:rtl/>
        </w:rPr>
        <w:t>"</w:t>
      </w:r>
      <w:r w:rsidRPr="00E45247">
        <w:rPr>
          <w:rtl/>
        </w:rPr>
        <w:t>כל ילד ונער במדינת ישראל זכאי לחינוך</w:t>
      </w:r>
      <w:r w:rsidRPr="00E45247">
        <w:rPr>
          <w:rFonts w:hint="cs"/>
          <w:rtl/>
        </w:rPr>
        <w:t xml:space="preserve"> לפי כל דין".</w:t>
      </w:r>
    </w:p>
    <w:p w14:paraId="49E7CF77" w14:textId="77777777" w:rsidR="00071850" w:rsidRPr="00E45247" w:rsidRDefault="00071850" w:rsidP="00ED454D">
      <w:pPr>
        <w:pStyle w:val="Hesber"/>
        <w:spacing w:line="276" w:lineRule="auto"/>
        <w:rPr>
          <w:rtl/>
        </w:rPr>
      </w:pPr>
      <w:r w:rsidRPr="00E45247">
        <w:rPr>
          <w:rtl/>
        </w:rPr>
        <w:t xml:space="preserve">כך </w:t>
      </w:r>
      <w:r w:rsidRPr="00E45247">
        <w:rPr>
          <w:rFonts w:hint="cs"/>
          <w:rtl/>
        </w:rPr>
        <w:t xml:space="preserve">גם </w:t>
      </w:r>
      <w:r w:rsidRPr="00E45247">
        <w:rPr>
          <w:rtl/>
        </w:rPr>
        <w:t xml:space="preserve">נקבע </w:t>
      </w:r>
      <w:r w:rsidRPr="00E45247">
        <w:rPr>
          <w:rFonts w:hint="cs"/>
          <w:rtl/>
        </w:rPr>
        <w:t>ב</w:t>
      </w:r>
      <w:r w:rsidRPr="00E45247">
        <w:rPr>
          <w:rtl/>
        </w:rPr>
        <w:t>חוק לימוד חובה</w:t>
      </w:r>
      <w:r w:rsidRPr="00E45247">
        <w:rPr>
          <w:rFonts w:hint="cs"/>
          <w:rtl/>
        </w:rPr>
        <w:t xml:space="preserve">, </w:t>
      </w:r>
      <w:proofErr w:type="spellStart"/>
      <w:r w:rsidRPr="00E45247">
        <w:rPr>
          <w:rFonts w:hint="cs"/>
          <w:rtl/>
        </w:rPr>
        <w:t>התש"ט</w:t>
      </w:r>
      <w:proofErr w:type="spellEnd"/>
      <w:r w:rsidRPr="00E45247">
        <w:rPr>
          <w:rtl/>
        </w:rPr>
        <w:t>–</w:t>
      </w:r>
      <w:r w:rsidRPr="00E45247">
        <w:rPr>
          <w:rFonts w:hint="cs"/>
          <w:rtl/>
        </w:rPr>
        <w:t xml:space="preserve">1949 (להלן </w:t>
      </w:r>
      <w:r w:rsidRPr="00E45247">
        <w:rPr>
          <w:rtl/>
        </w:rPr>
        <w:t>–</w:t>
      </w:r>
      <w:r w:rsidRPr="00E45247">
        <w:rPr>
          <w:rFonts w:hint="cs"/>
          <w:rtl/>
        </w:rPr>
        <w:t xml:space="preserve"> חוק לימוד חובה),</w:t>
      </w:r>
      <w:r w:rsidRPr="00E45247">
        <w:rPr>
          <w:rtl/>
        </w:rPr>
        <w:t xml:space="preserve"> </w:t>
      </w:r>
      <w:r w:rsidRPr="00E45247">
        <w:rPr>
          <w:rFonts w:hint="eastAsia"/>
          <w:rtl/>
        </w:rPr>
        <w:t>ה</w:t>
      </w:r>
      <w:r w:rsidRPr="00E45247">
        <w:rPr>
          <w:rtl/>
        </w:rPr>
        <w:t>קובע</w:t>
      </w:r>
      <w:r w:rsidRPr="00E45247">
        <w:rPr>
          <w:rFonts w:hint="cs"/>
          <w:rtl/>
        </w:rPr>
        <w:t xml:space="preserve"> שכל ילד ונער מגיל 3 ו</w:t>
      </w:r>
      <w:r w:rsidRPr="00E45247">
        <w:rPr>
          <w:rtl/>
        </w:rPr>
        <w:t>עד כיתה י"ב חייב ללמוד במוסד חינו</w:t>
      </w:r>
      <w:r w:rsidRPr="00E45247">
        <w:rPr>
          <w:rFonts w:hint="cs"/>
          <w:rtl/>
        </w:rPr>
        <w:t>ך,</w:t>
      </w:r>
      <w:r w:rsidRPr="00E45247">
        <w:rPr>
          <w:rtl/>
        </w:rPr>
        <w:t xml:space="preserve"> </w:t>
      </w:r>
      <w:r w:rsidRPr="00E45247">
        <w:rPr>
          <w:rFonts w:hint="cs"/>
          <w:rtl/>
        </w:rPr>
        <w:t>לפי התנאים הקבועים בחוק.</w:t>
      </w:r>
    </w:p>
    <w:p w14:paraId="3FA933FC" w14:textId="77777777" w:rsidR="00D5524B" w:rsidRDefault="00071850" w:rsidP="00ED454D">
      <w:pPr>
        <w:pStyle w:val="Hesber"/>
        <w:spacing w:line="276" w:lineRule="auto"/>
        <w:rPr>
          <w:rtl/>
        </w:rPr>
      </w:pPr>
      <w:r w:rsidRPr="00E45247">
        <w:rPr>
          <w:rtl/>
        </w:rPr>
        <w:t xml:space="preserve">מערך הסעות התלמידים במערכת החינוך נועד לסייע ביישום חוק לימוד חובה, </w:t>
      </w:r>
      <w:r w:rsidRPr="00E45247">
        <w:rPr>
          <w:rFonts w:hint="eastAsia"/>
          <w:rtl/>
        </w:rPr>
        <w:t>ובפרט</w:t>
      </w:r>
      <w:r w:rsidRPr="00E45247">
        <w:rPr>
          <w:rtl/>
        </w:rPr>
        <w:t xml:space="preserve"> </w:t>
      </w:r>
      <w:r w:rsidRPr="00E45247">
        <w:rPr>
          <w:rFonts w:hint="eastAsia"/>
          <w:rtl/>
        </w:rPr>
        <w:t>ל</w:t>
      </w:r>
      <w:r w:rsidRPr="00E45247">
        <w:rPr>
          <w:rtl/>
        </w:rPr>
        <w:t>תלמידי החינוך המיוחד</w:t>
      </w:r>
      <w:r w:rsidRPr="00E45247">
        <w:rPr>
          <w:rFonts w:hint="cs"/>
          <w:rtl/>
        </w:rPr>
        <w:t xml:space="preserve">. </w:t>
      </w:r>
      <w:r w:rsidRPr="00E45247">
        <w:rPr>
          <w:rtl/>
        </w:rPr>
        <w:t xml:space="preserve">עם </w:t>
      </w:r>
      <w:r w:rsidRPr="00E45247">
        <w:rPr>
          <w:rFonts w:hint="eastAsia"/>
          <w:rtl/>
        </w:rPr>
        <w:t>זאת</w:t>
      </w:r>
      <w:r w:rsidRPr="00E45247">
        <w:rPr>
          <w:rtl/>
        </w:rPr>
        <w:t>, חוק הסעה בטיחותית לילדים ולפעוטות</w:t>
      </w:r>
      <w:r w:rsidRPr="00E45247">
        <w:rPr>
          <w:rFonts w:hint="cs"/>
          <w:rtl/>
        </w:rPr>
        <w:t xml:space="preserve"> עם מוגבלות,</w:t>
      </w:r>
      <w:r w:rsidRPr="00E45247">
        <w:rPr>
          <w:rtl/>
        </w:rPr>
        <w:t xml:space="preserve"> </w:t>
      </w:r>
      <w:proofErr w:type="spellStart"/>
      <w:r w:rsidRPr="00E45247">
        <w:rPr>
          <w:rFonts w:hint="cs"/>
          <w:rtl/>
        </w:rPr>
        <w:t>התשנ"ד</w:t>
      </w:r>
      <w:proofErr w:type="spellEnd"/>
      <w:r w:rsidRPr="00E45247">
        <w:rPr>
          <w:rtl/>
        </w:rPr>
        <w:t>–</w:t>
      </w:r>
      <w:r w:rsidRPr="00E45247">
        <w:rPr>
          <w:rFonts w:hint="cs"/>
          <w:rtl/>
        </w:rPr>
        <w:t xml:space="preserve">1994, </w:t>
      </w:r>
      <w:r w:rsidRPr="00E45247">
        <w:rPr>
          <w:rtl/>
        </w:rPr>
        <w:t xml:space="preserve">הקובע את זכאותם של ילדים </w:t>
      </w:r>
      <w:r w:rsidRPr="00E45247">
        <w:rPr>
          <w:rFonts w:hint="cs"/>
          <w:rtl/>
        </w:rPr>
        <w:t xml:space="preserve">עם </w:t>
      </w:r>
      <w:r w:rsidRPr="00E45247">
        <w:rPr>
          <w:rtl/>
        </w:rPr>
        <w:t>מוגבלות להסעה למוסדות החינוך</w:t>
      </w:r>
      <w:r w:rsidRPr="00E45247">
        <w:rPr>
          <w:rFonts w:hint="cs"/>
          <w:rtl/>
        </w:rPr>
        <w:t>,</w:t>
      </w:r>
      <w:r w:rsidRPr="00E45247">
        <w:rPr>
          <w:rtl/>
        </w:rPr>
        <w:t xml:space="preserve"> מחריג מוסדות חינוך</w:t>
      </w:r>
      <w:r w:rsidRPr="00E45247">
        <w:rPr>
          <w:rFonts w:hint="cs"/>
          <w:rtl/>
        </w:rPr>
        <w:t xml:space="preserve"> מסוימים שבהם רשאים ילדים ונערים ללמוד לפי סעיף 5 לחוק לימוד חובה, </w:t>
      </w:r>
      <w:r w:rsidRPr="00E45247">
        <w:rPr>
          <w:rtl/>
        </w:rPr>
        <w:t xml:space="preserve">וקובע כי רק תלמידים הלומדים במוסד חינוך מוכר זכאים למימון הסעה בשל מוגבלותם. </w:t>
      </w:r>
    </w:p>
    <w:p w14:paraId="219E8036" w14:textId="593C16D3" w:rsidR="00071850" w:rsidRPr="00E45247" w:rsidRDefault="00071850" w:rsidP="00ED454D">
      <w:pPr>
        <w:pStyle w:val="Hesber"/>
        <w:spacing w:line="276" w:lineRule="auto"/>
        <w:rPr>
          <w:rtl/>
        </w:rPr>
      </w:pPr>
      <w:r w:rsidRPr="00E45247">
        <w:rPr>
          <w:rtl/>
        </w:rPr>
        <w:t xml:space="preserve">החרגה </w:t>
      </w:r>
      <w:r w:rsidRPr="00E45247">
        <w:rPr>
          <w:rFonts w:hint="eastAsia"/>
          <w:rtl/>
        </w:rPr>
        <w:t>ז</w:t>
      </w:r>
      <w:r w:rsidRPr="00E45247">
        <w:rPr>
          <w:rFonts w:hint="cs"/>
          <w:rtl/>
        </w:rPr>
        <w:t>ו</w:t>
      </w:r>
      <w:r w:rsidRPr="00E45247">
        <w:rPr>
          <w:rtl/>
        </w:rPr>
        <w:t xml:space="preserve"> </w:t>
      </w:r>
      <w:r w:rsidRPr="00E45247">
        <w:rPr>
          <w:rFonts w:hint="eastAsia"/>
          <w:rtl/>
        </w:rPr>
        <w:t>של</w:t>
      </w:r>
      <w:r w:rsidRPr="00E45247">
        <w:rPr>
          <w:rtl/>
        </w:rPr>
        <w:t xml:space="preserve"> </w:t>
      </w:r>
      <w:r w:rsidRPr="00E45247">
        <w:rPr>
          <w:rFonts w:hint="eastAsia"/>
          <w:rtl/>
        </w:rPr>
        <w:t>מוסדות</w:t>
      </w:r>
      <w:r w:rsidRPr="00E45247">
        <w:rPr>
          <w:rtl/>
        </w:rPr>
        <w:t xml:space="preserve"> </w:t>
      </w:r>
      <w:r w:rsidRPr="00E45247">
        <w:rPr>
          <w:rFonts w:hint="eastAsia"/>
          <w:rtl/>
        </w:rPr>
        <w:t>רבים</w:t>
      </w:r>
      <w:r w:rsidRPr="00E45247">
        <w:rPr>
          <w:rtl/>
        </w:rPr>
        <w:t xml:space="preserve"> </w:t>
      </w:r>
      <w:r w:rsidRPr="00E45247">
        <w:rPr>
          <w:rFonts w:hint="eastAsia"/>
          <w:rtl/>
        </w:rPr>
        <w:t>העומדים</w:t>
      </w:r>
      <w:r w:rsidRPr="00E45247">
        <w:rPr>
          <w:rtl/>
        </w:rPr>
        <w:t xml:space="preserve"> </w:t>
      </w:r>
      <w:r w:rsidRPr="00E45247">
        <w:rPr>
          <w:rFonts w:hint="eastAsia"/>
          <w:rtl/>
        </w:rPr>
        <w:t>בתנאי</w:t>
      </w:r>
      <w:r w:rsidRPr="00E45247">
        <w:rPr>
          <w:rFonts w:hint="cs"/>
          <w:rtl/>
        </w:rPr>
        <w:t xml:space="preserve"> סעיף 5</w:t>
      </w:r>
      <w:r w:rsidRPr="00E45247">
        <w:rPr>
          <w:rtl/>
        </w:rPr>
        <w:t xml:space="preserve"> </w:t>
      </w:r>
      <w:r w:rsidRPr="00E45247">
        <w:rPr>
          <w:rFonts w:hint="cs"/>
          <w:rtl/>
        </w:rPr>
        <w:t>ל</w:t>
      </w:r>
      <w:r w:rsidRPr="00E45247">
        <w:rPr>
          <w:rFonts w:hint="eastAsia"/>
          <w:rtl/>
        </w:rPr>
        <w:t>חוק</w:t>
      </w:r>
      <w:r w:rsidRPr="00E45247">
        <w:rPr>
          <w:rtl/>
        </w:rPr>
        <w:t xml:space="preserve"> </w:t>
      </w:r>
      <w:r w:rsidRPr="00E45247">
        <w:rPr>
          <w:rFonts w:hint="eastAsia"/>
          <w:rtl/>
        </w:rPr>
        <w:t>לימוד</w:t>
      </w:r>
      <w:r w:rsidRPr="00E45247">
        <w:rPr>
          <w:rtl/>
        </w:rPr>
        <w:t xml:space="preserve"> </w:t>
      </w:r>
      <w:r w:rsidRPr="00E45247">
        <w:rPr>
          <w:rFonts w:hint="eastAsia"/>
          <w:rtl/>
        </w:rPr>
        <w:t>חובה</w:t>
      </w:r>
      <w:r w:rsidRPr="00E45247">
        <w:rPr>
          <w:rFonts w:hint="cs"/>
          <w:rtl/>
        </w:rPr>
        <w:t>,</w:t>
      </w:r>
      <w:r w:rsidRPr="00E45247">
        <w:rPr>
          <w:rtl/>
        </w:rPr>
        <w:t xml:space="preserve"> </w:t>
      </w:r>
      <w:r w:rsidRPr="00E45247">
        <w:rPr>
          <w:rFonts w:hint="eastAsia"/>
          <w:rtl/>
        </w:rPr>
        <w:t>מפלה</w:t>
      </w:r>
      <w:r w:rsidRPr="00E45247">
        <w:rPr>
          <w:rtl/>
        </w:rPr>
        <w:t xml:space="preserve"> </w:t>
      </w:r>
      <w:r w:rsidRPr="00E45247">
        <w:rPr>
          <w:rFonts w:hint="eastAsia"/>
          <w:rtl/>
        </w:rPr>
        <w:t>ילדים</w:t>
      </w:r>
      <w:r w:rsidRPr="00E45247">
        <w:rPr>
          <w:rtl/>
        </w:rPr>
        <w:t xml:space="preserve"> </w:t>
      </w:r>
      <w:r w:rsidRPr="00E45247">
        <w:rPr>
          <w:rFonts w:hint="eastAsia"/>
          <w:rtl/>
        </w:rPr>
        <w:t>עם</w:t>
      </w:r>
      <w:r w:rsidRPr="00E45247">
        <w:rPr>
          <w:rtl/>
        </w:rPr>
        <w:t xml:space="preserve"> </w:t>
      </w:r>
      <w:r w:rsidRPr="00E45247">
        <w:rPr>
          <w:rFonts w:hint="eastAsia"/>
          <w:rtl/>
        </w:rPr>
        <w:t>מוגבלות</w:t>
      </w:r>
      <w:r w:rsidRPr="00E45247">
        <w:rPr>
          <w:rtl/>
        </w:rPr>
        <w:t xml:space="preserve"> </w:t>
      </w:r>
      <w:r w:rsidRPr="00E45247">
        <w:rPr>
          <w:rFonts w:hint="eastAsia"/>
          <w:rtl/>
        </w:rPr>
        <w:t>הלומדים</w:t>
      </w:r>
      <w:r w:rsidRPr="00E45247">
        <w:rPr>
          <w:rtl/>
        </w:rPr>
        <w:t xml:space="preserve"> </w:t>
      </w:r>
      <w:r w:rsidRPr="00E45247">
        <w:rPr>
          <w:rFonts w:hint="eastAsia"/>
          <w:rtl/>
        </w:rPr>
        <w:t>במוסד</w:t>
      </w:r>
      <w:r w:rsidRPr="00E45247">
        <w:rPr>
          <w:rFonts w:hint="cs"/>
          <w:rtl/>
        </w:rPr>
        <w:t>ות חינוך אלה.</w:t>
      </w:r>
    </w:p>
    <w:p w14:paraId="58A94DA4" w14:textId="77777777" w:rsidR="00071850" w:rsidRPr="00E45247" w:rsidRDefault="00071850" w:rsidP="00ED454D">
      <w:pPr>
        <w:pStyle w:val="Hesber"/>
        <w:spacing w:line="276" w:lineRule="auto"/>
        <w:rPr>
          <w:rtl/>
        </w:rPr>
      </w:pPr>
      <w:r w:rsidRPr="00E45247">
        <w:rPr>
          <w:rtl/>
        </w:rPr>
        <w:t xml:space="preserve">הצעת </w:t>
      </w:r>
      <w:r w:rsidRPr="00E45247">
        <w:rPr>
          <w:rFonts w:hint="eastAsia"/>
          <w:rtl/>
        </w:rPr>
        <w:t>החוק</w:t>
      </w:r>
      <w:r w:rsidRPr="00E45247">
        <w:rPr>
          <w:rtl/>
        </w:rPr>
        <w:t xml:space="preserve"> </w:t>
      </w:r>
      <w:r w:rsidRPr="00E45247">
        <w:rPr>
          <w:rFonts w:hint="cs"/>
          <w:rtl/>
        </w:rPr>
        <w:t>נועדה</w:t>
      </w:r>
      <w:r w:rsidRPr="00E45247">
        <w:rPr>
          <w:rtl/>
        </w:rPr>
        <w:t xml:space="preserve"> </w:t>
      </w:r>
      <w:r w:rsidRPr="00E45247">
        <w:rPr>
          <w:rFonts w:hint="eastAsia"/>
          <w:rtl/>
        </w:rPr>
        <w:t>לתת</w:t>
      </w:r>
      <w:r w:rsidRPr="00E45247">
        <w:rPr>
          <w:rtl/>
        </w:rPr>
        <w:t xml:space="preserve"> </w:t>
      </w:r>
      <w:r w:rsidRPr="00E45247">
        <w:rPr>
          <w:rFonts w:hint="eastAsia"/>
          <w:rtl/>
        </w:rPr>
        <w:t>לכל</w:t>
      </w:r>
      <w:r w:rsidRPr="00E45247">
        <w:rPr>
          <w:rtl/>
        </w:rPr>
        <w:t xml:space="preserve"> </w:t>
      </w:r>
      <w:r w:rsidRPr="00E45247">
        <w:rPr>
          <w:rFonts w:hint="eastAsia"/>
          <w:rtl/>
        </w:rPr>
        <w:t>ילד</w:t>
      </w:r>
      <w:r w:rsidRPr="00E45247">
        <w:rPr>
          <w:rtl/>
        </w:rPr>
        <w:t xml:space="preserve"> </w:t>
      </w:r>
      <w:r w:rsidRPr="00E45247">
        <w:rPr>
          <w:rFonts w:hint="cs"/>
          <w:rtl/>
        </w:rPr>
        <w:t>עם</w:t>
      </w:r>
      <w:r w:rsidRPr="00E45247">
        <w:rPr>
          <w:rtl/>
        </w:rPr>
        <w:t xml:space="preserve"> </w:t>
      </w:r>
      <w:r w:rsidRPr="00E45247">
        <w:rPr>
          <w:rFonts w:hint="eastAsia"/>
          <w:rtl/>
        </w:rPr>
        <w:t>מוגבלות</w:t>
      </w:r>
      <w:r w:rsidRPr="00E45247">
        <w:rPr>
          <w:rtl/>
        </w:rPr>
        <w:t xml:space="preserve"> </w:t>
      </w:r>
      <w:r w:rsidRPr="00E45247">
        <w:rPr>
          <w:rFonts w:hint="eastAsia"/>
          <w:rtl/>
        </w:rPr>
        <w:t>את</w:t>
      </w:r>
      <w:r w:rsidRPr="00E45247">
        <w:rPr>
          <w:rtl/>
        </w:rPr>
        <w:t xml:space="preserve"> </w:t>
      </w:r>
      <w:r w:rsidRPr="00E45247">
        <w:rPr>
          <w:rFonts w:hint="eastAsia"/>
          <w:rtl/>
        </w:rPr>
        <w:t>הזכות</w:t>
      </w:r>
      <w:r w:rsidRPr="00E45247">
        <w:rPr>
          <w:rtl/>
        </w:rPr>
        <w:t xml:space="preserve"> </w:t>
      </w:r>
      <w:r w:rsidRPr="00E45247">
        <w:rPr>
          <w:rFonts w:hint="eastAsia"/>
          <w:rtl/>
        </w:rPr>
        <w:t>הבסיסית</w:t>
      </w:r>
      <w:r w:rsidRPr="00E45247">
        <w:rPr>
          <w:rtl/>
        </w:rPr>
        <w:t xml:space="preserve"> </w:t>
      </w:r>
      <w:r w:rsidRPr="00E45247">
        <w:rPr>
          <w:rFonts w:hint="eastAsia"/>
          <w:rtl/>
        </w:rPr>
        <w:t>ללמוד</w:t>
      </w:r>
      <w:r w:rsidRPr="00E45247">
        <w:rPr>
          <w:rtl/>
        </w:rPr>
        <w:t xml:space="preserve"> </w:t>
      </w:r>
      <w:r w:rsidRPr="00E45247">
        <w:rPr>
          <w:rFonts w:hint="eastAsia"/>
          <w:rtl/>
        </w:rPr>
        <w:t>במוסד</w:t>
      </w:r>
      <w:r w:rsidRPr="00E45247">
        <w:rPr>
          <w:rtl/>
        </w:rPr>
        <w:t xml:space="preserve"> </w:t>
      </w:r>
      <w:r w:rsidRPr="00E45247">
        <w:rPr>
          <w:rFonts w:hint="eastAsia"/>
          <w:rtl/>
        </w:rPr>
        <w:t>חינוכי</w:t>
      </w:r>
      <w:r w:rsidRPr="00E45247">
        <w:rPr>
          <w:rtl/>
        </w:rPr>
        <w:t xml:space="preserve"> </w:t>
      </w:r>
      <w:r w:rsidRPr="00E45247">
        <w:rPr>
          <w:rFonts w:hint="eastAsia"/>
          <w:rtl/>
        </w:rPr>
        <w:t>המתאים</w:t>
      </w:r>
      <w:r w:rsidRPr="00E45247">
        <w:rPr>
          <w:rtl/>
        </w:rPr>
        <w:t xml:space="preserve"> </w:t>
      </w:r>
      <w:r w:rsidRPr="00E45247">
        <w:rPr>
          <w:rFonts w:hint="eastAsia"/>
          <w:rtl/>
        </w:rPr>
        <w:t>עבורו</w:t>
      </w:r>
      <w:r w:rsidRPr="00E45247">
        <w:rPr>
          <w:rtl/>
        </w:rPr>
        <w:t xml:space="preserve"> </w:t>
      </w:r>
      <w:r w:rsidRPr="00E45247">
        <w:rPr>
          <w:rFonts w:hint="eastAsia"/>
          <w:rtl/>
        </w:rPr>
        <w:t>ולקבל</w:t>
      </w:r>
      <w:r w:rsidRPr="00E45247">
        <w:rPr>
          <w:rtl/>
        </w:rPr>
        <w:t xml:space="preserve"> </w:t>
      </w:r>
      <w:r w:rsidRPr="00E45247">
        <w:rPr>
          <w:rFonts w:hint="eastAsia"/>
          <w:rtl/>
        </w:rPr>
        <w:t>מימון</w:t>
      </w:r>
      <w:r w:rsidRPr="00E45247">
        <w:rPr>
          <w:rtl/>
        </w:rPr>
        <w:t xml:space="preserve"> </w:t>
      </w:r>
      <w:r w:rsidRPr="00E45247">
        <w:rPr>
          <w:rFonts w:hint="eastAsia"/>
          <w:rtl/>
        </w:rPr>
        <w:t>להסעה</w:t>
      </w:r>
      <w:r w:rsidRPr="00E45247">
        <w:rPr>
          <w:rtl/>
        </w:rPr>
        <w:t>.</w:t>
      </w:r>
    </w:p>
    <w:p w14:paraId="7F6961CB" w14:textId="3A18DC7D" w:rsidR="00E13C27" w:rsidRDefault="00071850" w:rsidP="00ED454D">
      <w:pPr>
        <w:pStyle w:val="Hesber"/>
        <w:spacing w:line="276" w:lineRule="auto"/>
        <w:rPr>
          <w:rtl/>
        </w:rPr>
      </w:pPr>
      <w:r w:rsidRPr="00E45247">
        <w:rPr>
          <w:rFonts w:hint="cs"/>
          <w:rtl/>
        </w:rPr>
        <w:lastRenderedPageBreak/>
        <w:t>הצעת חוק זה</w:t>
      </w:r>
      <w:r w:rsidR="00ED454D">
        <w:rPr>
          <w:rFonts w:hint="cs"/>
          <w:rtl/>
        </w:rPr>
        <w:t>ה הונחה על שולחן הכנסת העשרים על יד</w:t>
      </w:r>
      <w:r w:rsidRPr="00E45247">
        <w:rPr>
          <w:rFonts w:hint="cs"/>
          <w:rtl/>
        </w:rPr>
        <w:t>י חבר הכנסת יעקב אשר</w:t>
      </w:r>
      <w:r w:rsidR="00EA1FAD" w:rsidRPr="00E45247">
        <w:rPr>
          <w:rFonts w:hint="cs"/>
          <w:rtl/>
        </w:rPr>
        <w:t xml:space="preserve"> וקבוצת חברי הכנסת</w:t>
      </w:r>
      <w:r w:rsidRPr="00E45247">
        <w:rPr>
          <w:rFonts w:hint="cs"/>
          <w:rtl/>
        </w:rPr>
        <w:t xml:space="preserve"> </w:t>
      </w:r>
      <w:r w:rsidR="00EA1FAD" w:rsidRPr="00E45247">
        <w:rPr>
          <w:rFonts w:hint="cs"/>
          <w:rtl/>
        </w:rPr>
        <w:t>(</w:t>
      </w:r>
      <w:r w:rsidRPr="00E45247">
        <w:rPr>
          <w:rFonts w:hint="cs"/>
          <w:rtl/>
        </w:rPr>
        <w:t>פ/</w:t>
      </w:r>
      <w:r w:rsidR="00EA1FAD" w:rsidRPr="00E45247">
        <w:rPr>
          <w:rFonts w:hint="cs"/>
          <w:rtl/>
        </w:rPr>
        <w:t>5834/20).</w:t>
      </w:r>
    </w:p>
    <w:p w14:paraId="004A5EF5" w14:textId="77777777" w:rsidR="00ED454D" w:rsidRDefault="00ED454D" w:rsidP="00ED454D">
      <w:pPr>
        <w:pStyle w:val="Hesber"/>
        <w:spacing w:line="240" w:lineRule="auto"/>
        <w:rPr>
          <w:rtl/>
        </w:rPr>
      </w:pPr>
    </w:p>
    <w:p w14:paraId="67BF3919" w14:textId="77777777" w:rsidR="00ED454D" w:rsidRDefault="00ED454D" w:rsidP="00ED454D">
      <w:pPr>
        <w:pStyle w:val="Hesber"/>
        <w:spacing w:line="240" w:lineRule="auto"/>
        <w:rPr>
          <w:rtl/>
        </w:rPr>
      </w:pPr>
      <w:bookmarkStart w:id="8" w:name="_GoBack"/>
      <w:bookmarkEnd w:id="8"/>
      <w:r>
        <w:rPr>
          <w:rtl/>
        </w:rPr>
        <w:t>---------------------------------</w:t>
      </w:r>
    </w:p>
    <w:p w14:paraId="2DFE5411" w14:textId="77777777" w:rsidR="00ED454D" w:rsidRDefault="00ED454D" w:rsidP="00ED454D">
      <w:pPr>
        <w:pStyle w:val="Hesber"/>
        <w:spacing w:line="240" w:lineRule="auto"/>
        <w:rPr>
          <w:rtl/>
        </w:rPr>
      </w:pPr>
      <w:r>
        <w:rPr>
          <w:rtl/>
        </w:rPr>
        <w:t>הוגשה ליו"ר הכנסת והסגנים</w:t>
      </w:r>
    </w:p>
    <w:p w14:paraId="10EBDDCE" w14:textId="77777777" w:rsidR="00ED454D" w:rsidRDefault="00ED454D" w:rsidP="00ED454D">
      <w:pPr>
        <w:pStyle w:val="Hesber"/>
        <w:spacing w:line="240" w:lineRule="auto"/>
        <w:rPr>
          <w:rtl/>
        </w:rPr>
      </w:pPr>
      <w:r>
        <w:rPr>
          <w:rtl/>
        </w:rPr>
        <w:t>והונחה על שולחן הכנסת ביום</w:t>
      </w:r>
    </w:p>
    <w:p w14:paraId="66CF72B6" w14:textId="43A8E235" w:rsidR="00ED454D" w:rsidRPr="00E45247" w:rsidRDefault="00ED454D" w:rsidP="00ED454D">
      <w:pPr>
        <w:pStyle w:val="Hesber"/>
        <w:spacing w:line="240" w:lineRule="auto"/>
        <w:rPr>
          <w:rtl/>
        </w:rPr>
      </w:pPr>
      <w:r>
        <w:rPr>
          <w:rtl/>
        </w:rPr>
        <w:t xml:space="preserve">כ"ב באייר </w:t>
      </w:r>
      <w:proofErr w:type="spellStart"/>
      <w:r>
        <w:rPr>
          <w:rtl/>
        </w:rPr>
        <w:t>התשע"ט</w:t>
      </w:r>
      <w:proofErr w:type="spellEnd"/>
      <w:r>
        <w:rPr>
          <w:rtl/>
        </w:rPr>
        <w:t xml:space="preserve"> - 27.5.19</w:t>
      </w:r>
    </w:p>
    <w:sectPr w:rsidR="00ED454D" w:rsidRPr="00E45247" w:rsidSect="00C54BBB">
      <w:footerReference w:type="even" r:id="rId11"/>
      <w:footerReference w:type="default" r:id="rId12"/>
      <w:pgSz w:w="11907" w:h="16840" w:code="9"/>
      <w:pgMar w:top="1701" w:right="1134" w:bottom="1417" w:left="1134" w:header="680" w:footer="680" w:gutter="0"/>
      <w:cols w:space="720"/>
      <w:noEndnote/>
      <w:titlePg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6B4C1" w14:textId="77777777" w:rsidR="00D142D3" w:rsidRDefault="00D142D3">
      <w:r>
        <w:separator/>
      </w:r>
    </w:p>
  </w:endnote>
  <w:endnote w:type="continuationSeparator" w:id="0">
    <w:p w14:paraId="0E546755" w14:textId="77777777" w:rsidR="00D142D3" w:rsidRDefault="00D142D3">
      <w:r>
        <w:continuationSeparator/>
      </w:r>
    </w:p>
  </w:endnote>
  <w:endnote w:type="continuationNotice" w:id="1">
    <w:p w14:paraId="24369900" w14:textId="77777777" w:rsidR="00D142D3" w:rsidRDefault="00D142D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14:paraId="7F6961D6" w14:textId="77777777" w:rsidR="002C3041" w:rsidRDefault="002C304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 w:rsidR="00ED454D">
      <w:rPr>
        <w:rStyle w:val="ab"/>
        <w:noProof/>
        <w:rtl/>
      </w:rPr>
      <w:t>2</w:t>
    </w:r>
    <w:r>
      <w:rPr>
        <w:rStyle w:val="ab"/>
        <w:rtl/>
      </w:rPr>
      <w:fldChar w:fldCharType="end"/>
    </w:r>
  </w:p>
  <w:p w14:paraId="7F6961D8" w14:textId="77777777" w:rsidR="002C3041" w:rsidRDefault="002C30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674C0" w14:textId="77777777" w:rsidR="00D142D3" w:rsidRDefault="00D142D3" w:rsidP="00C54BBB">
      <w:pPr>
        <w:ind w:left="0"/>
      </w:pPr>
      <w:r>
        <w:separator/>
      </w:r>
    </w:p>
  </w:footnote>
  <w:footnote w:type="continuationSeparator" w:id="0">
    <w:p w14:paraId="401CF485" w14:textId="77777777" w:rsidR="00D142D3" w:rsidRDefault="00D142D3">
      <w:r>
        <w:continuationSeparator/>
      </w:r>
    </w:p>
  </w:footnote>
  <w:footnote w:type="continuationNotice" w:id="1">
    <w:p w14:paraId="173A6451" w14:textId="77777777" w:rsidR="00D142D3" w:rsidRDefault="00D142D3"/>
  </w:footnote>
  <w:footnote w:id="2">
    <w:p w14:paraId="136ACFBA" w14:textId="77777777" w:rsidR="00071850" w:rsidRDefault="00071850" w:rsidP="00071850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ס"ח </w:t>
      </w:r>
      <w:proofErr w:type="spellStart"/>
      <w:r>
        <w:rPr>
          <w:rFonts w:hint="cs"/>
          <w:rtl/>
        </w:rPr>
        <w:t>התשנ"ד</w:t>
      </w:r>
      <w:proofErr w:type="spellEnd"/>
      <w:r>
        <w:rPr>
          <w:rFonts w:hint="cs"/>
          <w:rtl/>
        </w:rPr>
        <w:t>, עמ' 71.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4943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A2E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E00D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D24B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1685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CA2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EA33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8CFF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38A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B85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972A86"/>
    <w:multiLevelType w:val="hybridMultilevel"/>
    <w:tmpl w:val="0D5028AE"/>
    <w:lvl w:ilvl="0" w:tplc="FB92B18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A2B35"/>
    <w:multiLevelType w:val="hybridMultilevel"/>
    <w:tmpl w:val="F61ADD04"/>
    <w:lvl w:ilvl="0" w:tplc="EFC26F30">
      <w:start w:val="1"/>
      <w:numFmt w:val="hebrew1"/>
      <w:pStyle w:val="4"/>
      <w:suff w:val="space"/>
      <w:lvlText w:val="%1."/>
      <w:lvlJc w:val="left"/>
      <w:pPr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3B28B0"/>
    <w:multiLevelType w:val="hybridMultilevel"/>
    <w:tmpl w:val="41ACEA96"/>
    <w:lvl w:ilvl="0" w:tplc="06A8C010">
      <w:start w:val="1"/>
      <w:numFmt w:val="decimal"/>
      <w:pStyle w:val="TOC3"/>
      <w:lvlText w:val="%1."/>
      <w:lvlJc w:val="left"/>
      <w:pPr>
        <w:ind w:left="1287" w:hanging="360"/>
      </w:pPr>
      <w:rPr>
        <w:rFonts w:cs="David" w:hint="default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53C544D"/>
    <w:multiLevelType w:val="hybridMultilevel"/>
    <w:tmpl w:val="C7443990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13"/>
  </w:num>
  <w:num w:numId="16">
    <w:abstractNumId w:val="13"/>
    <w:lvlOverride w:ilvl="0">
      <w:startOverride w:val="1"/>
    </w:lvlOverride>
  </w:num>
  <w:num w:numId="17">
    <w:abstractNumId w:val="1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1850"/>
    <w:rsid w:val="00072CAC"/>
    <w:rsid w:val="0007681A"/>
    <w:rsid w:val="000A542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A487D"/>
    <w:rsid w:val="002C2E29"/>
    <w:rsid w:val="002C3041"/>
    <w:rsid w:val="002D1EE3"/>
    <w:rsid w:val="002F1D80"/>
    <w:rsid w:val="003232A2"/>
    <w:rsid w:val="00325C14"/>
    <w:rsid w:val="0036422C"/>
    <w:rsid w:val="003710F6"/>
    <w:rsid w:val="00386E88"/>
    <w:rsid w:val="00396585"/>
    <w:rsid w:val="003D6E38"/>
    <w:rsid w:val="003D74A0"/>
    <w:rsid w:val="004033D8"/>
    <w:rsid w:val="004073F0"/>
    <w:rsid w:val="00412A7D"/>
    <w:rsid w:val="00416B4D"/>
    <w:rsid w:val="00417CFC"/>
    <w:rsid w:val="004A06DC"/>
    <w:rsid w:val="004B24ED"/>
    <w:rsid w:val="004B6625"/>
    <w:rsid w:val="004D2D82"/>
    <w:rsid w:val="004D3876"/>
    <w:rsid w:val="004E4552"/>
    <w:rsid w:val="004E6CDF"/>
    <w:rsid w:val="00553C9D"/>
    <w:rsid w:val="00562A66"/>
    <w:rsid w:val="005B064E"/>
    <w:rsid w:val="005D51AE"/>
    <w:rsid w:val="0062674B"/>
    <w:rsid w:val="006363B2"/>
    <w:rsid w:val="00644940"/>
    <w:rsid w:val="006818A9"/>
    <w:rsid w:val="006A2D81"/>
    <w:rsid w:val="006C1D0D"/>
    <w:rsid w:val="00701875"/>
    <w:rsid w:val="0070601E"/>
    <w:rsid w:val="00710A78"/>
    <w:rsid w:val="00712C72"/>
    <w:rsid w:val="00735FE9"/>
    <w:rsid w:val="00763CAA"/>
    <w:rsid w:val="00765F66"/>
    <w:rsid w:val="0078664F"/>
    <w:rsid w:val="007A27CE"/>
    <w:rsid w:val="007C3FA6"/>
    <w:rsid w:val="007D585A"/>
    <w:rsid w:val="007D5A12"/>
    <w:rsid w:val="007E59F9"/>
    <w:rsid w:val="00810BCD"/>
    <w:rsid w:val="00812C98"/>
    <w:rsid w:val="00814D92"/>
    <w:rsid w:val="0083181D"/>
    <w:rsid w:val="00843EB2"/>
    <w:rsid w:val="00865572"/>
    <w:rsid w:val="00874BBC"/>
    <w:rsid w:val="00892135"/>
    <w:rsid w:val="00895449"/>
    <w:rsid w:val="00897879"/>
    <w:rsid w:val="008A6870"/>
    <w:rsid w:val="008C0A7B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A0DB8"/>
    <w:rsid w:val="009A7257"/>
    <w:rsid w:val="009D6E0A"/>
    <w:rsid w:val="009E1E33"/>
    <w:rsid w:val="00A14672"/>
    <w:rsid w:val="00A26BD6"/>
    <w:rsid w:val="00A443CF"/>
    <w:rsid w:val="00A6611D"/>
    <w:rsid w:val="00A82CB7"/>
    <w:rsid w:val="00A942C1"/>
    <w:rsid w:val="00AA2F03"/>
    <w:rsid w:val="00AC36F7"/>
    <w:rsid w:val="00AC63A4"/>
    <w:rsid w:val="00AD239E"/>
    <w:rsid w:val="00B10265"/>
    <w:rsid w:val="00B16A99"/>
    <w:rsid w:val="00B21211"/>
    <w:rsid w:val="00B35784"/>
    <w:rsid w:val="00B733A7"/>
    <w:rsid w:val="00B75C91"/>
    <w:rsid w:val="00B975AD"/>
    <w:rsid w:val="00BC45FB"/>
    <w:rsid w:val="00BF148D"/>
    <w:rsid w:val="00C23B1A"/>
    <w:rsid w:val="00C310EB"/>
    <w:rsid w:val="00C35BC8"/>
    <w:rsid w:val="00C54BBB"/>
    <w:rsid w:val="00C9176A"/>
    <w:rsid w:val="00CF1AA2"/>
    <w:rsid w:val="00D142D3"/>
    <w:rsid w:val="00D17774"/>
    <w:rsid w:val="00D5524B"/>
    <w:rsid w:val="00D63620"/>
    <w:rsid w:val="00D8410D"/>
    <w:rsid w:val="00D867D7"/>
    <w:rsid w:val="00DB7060"/>
    <w:rsid w:val="00DE3153"/>
    <w:rsid w:val="00E06736"/>
    <w:rsid w:val="00E13C27"/>
    <w:rsid w:val="00E33BBD"/>
    <w:rsid w:val="00E374F2"/>
    <w:rsid w:val="00E45103"/>
    <w:rsid w:val="00E45247"/>
    <w:rsid w:val="00E55A60"/>
    <w:rsid w:val="00E62778"/>
    <w:rsid w:val="00E635A2"/>
    <w:rsid w:val="00E63D38"/>
    <w:rsid w:val="00E665B9"/>
    <w:rsid w:val="00EA01E6"/>
    <w:rsid w:val="00EA1FAD"/>
    <w:rsid w:val="00EA3DE8"/>
    <w:rsid w:val="00EA758F"/>
    <w:rsid w:val="00ED454D"/>
    <w:rsid w:val="00ED4A6F"/>
    <w:rsid w:val="00EF3A3A"/>
    <w:rsid w:val="00F628D6"/>
    <w:rsid w:val="00F67051"/>
    <w:rsid w:val="00F86A1E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7FD30F5C-B83F-4589-B9BA-119D71CF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BBB"/>
    <w:pPr>
      <w:widowControl w:val="0"/>
      <w:bidi/>
      <w:spacing w:line="360" w:lineRule="auto"/>
      <w:ind w:left="340"/>
      <w:contextualSpacing/>
      <w:jc w:val="both"/>
    </w:pPr>
    <w:rPr>
      <w:rFonts w:ascii="David" w:eastAsiaTheme="minorHAnsi" w:hAnsi="David" w:cs="David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4BBB"/>
    <w:pPr>
      <w:keepNext/>
      <w:keepLines/>
      <w:spacing w:before="240"/>
      <w:jc w:val="center"/>
      <w:outlineLvl w:val="0"/>
    </w:pPr>
    <w:rPr>
      <w:rFonts w:asciiTheme="majorHAnsi" w:eastAsiaTheme="majorEastAsia" w:hAnsiTheme="majorHAnsi"/>
      <w:bCs/>
      <w:sz w:val="32"/>
      <w:szCs w:val="36"/>
    </w:rPr>
  </w:style>
  <w:style w:type="paragraph" w:styleId="2">
    <w:name w:val="heading 2"/>
    <w:basedOn w:val="a"/>
    <w:next w:val="a"/>
    <w:link w:val="20"/>
    <w:unhideWhenUsed/>
    <w:qFormat/>
    <w:rsid w:val="00C54BBB"/>
    <w:pPr>
      <w:ind w:left="0"/>
      <w:jc w:val="left"/>
      <w:outlineLvl w:val="1"/>
    </w:pPr>
    <w:rPr>
      <w:rFonts w:asciiTheme="majorHAnsi" w:eastAsiaTheme="majorEastAsia" w:hAnsiTheme="majorHAnsi"/>
      <w:bCs/>
      <w:sz w:val="26"/>
      <w:szCs w:val="36"/>
      <w:u w:val="single"/>
    </w:rPr>
  </w:style>
  <w:style w:type="paragraph" w:styleId="3">
    <w:name w:val="heading 3"/>
    <w:basedOn w:val="a"/>
    <w:next w:val="a"/>
    <w:link w:val="30"/>
    <w:unhideWhenUsed/>
    <w:qFormat/>
    <w:rsid w:val="00C54BBB"/>
    <w:pPr>
      <w:spacing w:before="40"/>
      <w:ind w:left="0"/>
      <w:jc w:val="left"/>
      <w:outlineLvl w:val="2"/>
    </w:pPr>
    <w:rPr>
      <w:rFonts w:asciiTheme="majorHAnsi" w:eastAsiaTheme="majorEastAsia" w:hAnsiTheme="majorHAnsi"/>
      <w:szCs w:val="28"/>
      <w:u w:val="double"/>
    </w:rPr>
  </w:style>
  <w:style w:type="paragraph" w:styleId="4">
    <w:name w:val="heading 4"/>
    <w:basedOn w:val="a"/>
    <w:next w:val="a"/>
    <w:link w:val="40"/>
    <w:uiPriority w:val="9"/>
    <w:unhideWhenUsed/>
    <w:qFormat/>
    <w:rsid w:val="00C54BBB"/>
    <w:pPr>
      <w:numPr>
        <w:numId w:val="18"/>
      </w:numPr>
      <w:spacing w:before="40" w:after="120"/>
      <w:outlineLvl w:val="3"/>
    </w:pPr>
    <w:rPr>
      <w:b/>
      <w:bCs/>
      <w:color w:val="000000" w:themeColor="text1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54BBB"/>
    <w:pPr>
      <w:spacing w:line="259" w:lineRule="auto"/>
      <w:outlineLvl w:val="4"/>
    </w:pPr>
    <w:rPr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C54BBB"/>
    <w:pPr>
      <w:tabs>
        <w:tab w:val="left" w:pos="1191"/>
        <w:tab w:val="left" w:pos="1587"/>
      </w:tabs>
      <w:snapToGrid w:val="0"/>
      <w:spacing w:before="240" w:after="240" w:line="480" w:lineRule="auto"/>
      <w:jc w:val="center"/>
    </w:pPr>
    <w:rPr>
      <w:rFonts w:ascii="Arial" w:eastAsia="Arial Unicode MS" w:hAnsi="Arial"/>
      <w:snapToGrid w:val="0"/>
      <w:sz w:val="20"/>
      <w:szCs w:val="26"/>
    </w:rPr>
  </w:style>
  <w:style w:type="paragraph" w:customStyle="1" w:styleId="Cover2-HatzaotHok">
    <w:name w:val="Cover 2-HatzaotHok"/>
    <w:basedOn w:val="Cover1-Reshumot"/>
    <w:rsid w:val="00C54BBB"/>
    <w:rPr>
      <w:sz w:val="36"/>
      <w:szCs w:val="52"/>
    </w:rPr>
  </w:style>
  <w:style w:type="paragraph" w:customStyle="1" w:styleId="Cover3-Haknesset">
    <w:name w:val="Cover 3-Haknesset"/>
    <w:basedOn w:val="Cover1-Reshumot"/>
    <w:rsid w:val="00C54BBB"/>
    <w:rPr>
      <w:b/>
      <w:bCs/>
      <w:spacing w:val="60"/>
    </w:rPr>
  </w:style>
  <w:style w:type="paragraph" w:customStyle="1" w:styleId="Cover4-Date">
    <w:name w:val="Cover 4-Date"/>
    <w:basedOn w:val="a"/>
    <w:rsid w:val="00C54BBB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/>
      <w:jc w:val="left"/>
    </w:pPr>
    <w:rPr>
      <w:rFonts w:ascii="Arial" w:eastAsia="Arial Unicode MS" w:hAnsi="Arial"/>
      <w:snapToGrid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C54BBB"/>
    <w:pPr>
      <w:keepNext/>
      <w:keepLines/>
      <w:pageBreakBefore/>
      <w:snapToGrid w:val="0"/>
      <w:spacing w:before="480"/>
    </w:pPr>
    <w:rPr>
      <w:rFonts w:ascii="Arial" w:eastAsia="Arial Unicode MS" w:hAnsi="Arial"/>
      <w:b/>
      <w:bCs/>
      <w:snapToGrid w:val="0"/>
      <w:sz w:val="20"/>
      <w:szCs w:val="26"/>
    </w:rPr>
  </w:style>
  <w:style w:type="paragraph" w:customStyle="1" w:styleId="HeadHatzaotHok">
    <w:name w:val="Head HatzaotHok"/>
    <w:basedOn w:val="a"/>
    <w:rsid w:val="00C54BBB"/>
    <w:pPr>
      <w:keepNext/>
      <w:keepLines/>
      <w:snapToGrid w:val="0"/>
      <w:spacing w:before="240"/>
      <w:jc w:val="center"/>
      <w:outlineLvl w:val="0"/>
    </w:pPr>
    <w:rPr>
      <w:rFonts w:ascii="Arial" w:eastAsia="Arial Unicode MS" w:hAnsi="Arial"/>
      <w:b/>
      <w:bCs/>
      <w:snapToGrid w:val="0"/>
      <w:sz w:val="20"/>
      <w:szCs w:val="26"/>
    </w:rPr>
  </w:style>
  <w:style w:type="paragraph" w:customStyle="1" w:styleId="HeadHatzaotHok4Futer">
    <w:name w:val="Head HatzaotHok4Futer"/>
    <w:basedOn w:val="HeadHatzaotHok"/>
    <w:rsid w:val="00C54BBB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C54BBB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C54BBB"/>
    <w:pPr>
      <w:keepLines/>
      <w:tabs>
        <w:tab w:val="left" w:pos="624"/>
        <w:tab w:val="left" w:pos="1247"/>
      </w:tabs>
      <w:snapToGrid w:val="0"/>
      <w:ind w:left="0"/>
      <w:jc w:val="left"/>
    </w:pPr>
    <w:rPr>
      <w:rFonts w:ascii="Arial" w:eastAsia="Arial Unicode MS" w:hAnsi="Arial"/>
      <w:snapToGrid w:val="0"/>
      <w:sz w:val="20"/>
      <w:szCs w:val="26"/>
    </w:rPr>
  </w:style>
  <w:style w:type="paragraph" w:customStyle="1" w:styleId="TableSideHeading">
    <w:name w:val="Table SideHeading"/>
    <w:basedOn w:val="TableText"/>
    <w:rsid w:val="00C54BBB"/>
    <w:pPr>
      <w:outlineLvl w:val="2"/>
    </w:pPr>
  </w:style>
  <w:style w:type="paragraph" w:customStyle="1" w:styleId="TableBlock">
    <w:name w:val="Table Block"/>
    <w:basedOn w:val="TableText"/>
    <w:rsid w:val="00C54BBB"/>
    <w:pPr>
      <w:jc w:val="both"/>
    </w:pPr>
  </w:style>
  <w:style w:type="paragraph" w:customStyle="1" w:styleId="TableHead">
    <w:name w:val="Table Head"/>
    <w:basedOn w:val="TableText"/>
    <w:rsid w:val="00C54BBB"/>
    <w:pPr>
      <w:jc w:val="center"/>
      <w:outlineLvl w:val="1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C54BBB"/>
    <w:pPr>
      <w:outlineLvl w:val="9"/>
    </w:pPr>
  </w:style>
  <w:style w:type="paragraph" w:customStyle="1" w:styleId="Hesber">
    <w:name w:val="Hesber"/>
    <w:basedOn w:val="a"/>
    <w:rsid w:val="00C54BBB"/>
    <w:pPr>
      <w:snapToGrid w:val="0"/>
      <w:ind w:left="0" w:firstLine="340"/>
    </w:pPr>
    <w:rPr>
      <w:rFonts w:ascii="Arial" w:eastAsia="Arial Unicode MS" w:hAnsi="Arial"/>
      <w:snapToGrid w:val="0"/>
      <w:sz w:val="20"/>
      <w:szCs w:val="26"/>
    </w:rPr>
  </w:style>
  <w:style w:type="paragraph" w:styleId="a4">
    <w:name w:val="footnote text"/>
    <w:basedOn w:val="a"/>
    <w:link w:val="a5"/>
    <w:autoRedefine/>
    <w:semiHidden/>
    <w:rsid w:val="00C54BBB"/>
    <w:pPr>
      <w:snapToGrid w:val="0"/>
      <w:spacing w:line="240" w:lineRule="auto"/>
      <w:ind w:left="0"/>
      <w:jc w:val="left"/>
    </w:pPr>
    <w:rPr>
      <w:rFonts w:ascii="Arial" w:eastAsia="Arial Unicode MS" w:hAnsi="Arial"/>
      <w:snapToGrid w:val="0"/>
      <w:sz w:val="14"/>
      <w:szCs w:val="20"/>
    </w:rPr>
  </w:style>
  <w:style w:type="character" w:styleId="a6">
    <w:name w:val="footnote reference"/>
    <w:aliases w:val="Footnote Reference"/>
    <w:basedOn w:val="a0"/>
    <w:semiHidden/>
    <w:rsid w:val="00C54BBB"/>
    <w:rPr>
      <w:vertAlign w:val="superscript"/>
    </w:rPr>
  </w:style>
  <w:style w:type="paragraph" w:customStyle="1" w:styleId="HesberHeading">
    <w:name w:val="Hesber Heading"/>
    <w:basedOn w:val="Hesber"/>
    <w:rsid w:val="00C54BBB"/>
    <w:pPr>
      <w:tabs>
        <w:tab w:val="left" w:pos="624"/>
        <w:tab w:val="left" w:pos="1247"/>
      </w:tabs>
    </w:pPr>
    <w:rPr>
      <w:b/>
      <w:bCs/>
    </w:rPr>
  </w:style>
  <w:style w:type="paragraph" w:customStyle="1" w:styleId="HesberWriters">
    <w:name w:val="Hesber Writers"/>
    <w:basedOn w:val="Hesber"/>
    <w:rsid w:val="00C54BBB"/>
    <w:pPr>
      <w:spacing w:before="120" w:after="120"/>
      <w:ind w:left="1418"/>
      <w:jc w:val="right"/>
    </w:pPr>
    <w:rPr>
      <w:b/>
      <w:bCs/>
    </w:rPr>
  </w:style>
  <w:style w:type="paragraph" w:customStyle="1" w:styleId="Hesber1st">
    <w:name w:val="Hesber 1st"/>
    <w:basedOn w:val="Hesber"/>
    <w:rsid w:val="00C54BBB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C54BBB"/>
    <w:rPr>
      <w:vertAlign w:val="superscript"/>
    </w:rPr>
  </w:style>
  <w:style w:type="paragraph" w:customStyle="1" w:styleId="TableBlockOutdent">
    <w:name w:val="Table BlockOutdent"/>
    <w:basedOn w:val="TableBlock"/>
    <w:rsid w:val="00C54BBB"/>
    <w:pPr>
      <w:ind w:left="624" w:hanging="624"/>
    </w:pPr>
  </w:style>
  <w:style w:type="paragraph" w:styleId="a8">
    <w:name w:val="header"/>
    <w:basedOn w:val="a"/>
    <w:rsid w:val="00C54BBB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C54BBB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C54BBB"/>
    <w:pPr>
      <w:snapToGrid w:val="0"/>
      <w:spacing w:before="360" w:after="120"/>
      <w:jc w:val="center"/>
      <w:outlineLvl w:val="1"/>
    </w:pPr>
    <w:rPr>
      <w:rFonts w:ascii="Arial" w:eastAsia="Arial Unicode MS" w:hAnsi="Arial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C54BBB"/>
    <w:pPr>
      <w:snapToGrid w:val="0"/>
      <w:jc w:val="left"/>
    </w:pPr>
    <w:rPr>
      <w:rFonts w:ascii="Arial" w:eastAsia="Arial Unicode MS" w:hAnsi="Arial"/>
      <w:snapToGrid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b/>
      <w:bCs/>
      <w:sz w:val="28"/>
      <w:szCs w:val="28"/>
      <w:u w:val="single"/>
    </w:rPr>
  </w:style>
  <w:style w:type="character" w:styleId="ab">
    <w:name w:val="page number"/>
    <w:basedOn w:val="a0"/>
    <w:rsid w:val="00C54BBB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jc w:val="left"/>
    </w:pPr>
    <w:rPr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a5">
    <w:name w:val="טקסט הערת שוליים תו"/>
    <w:basedOn w:val="a0"/>
    <w:link w:val="a4"/>
    <w:semiHidden/>
    <w:rsid w:val="00071850"/>
    <w:rPr>
      <w:rFonts w:ascii="Arial" w:eastAsia="Arial Unicode MS" w:hAnsi="Arial" w:cs="David"/>
      <w:snapToGrid w:val="0"/>
      <w:sz w:val="14"/>
    </w:rPr>
  </w:style>
  <w:style w:type="character" w:customStyle="1" w:styleId="10">
    <w:name w:val="כותרת 1 תו"/>
    <w:basedOn w:val="a0"/>
    <w:link w:val="1"/>
    <w:uiPriority w:val="9"/>
    <w:rsid w:val="00C54BBB"/>
    <w:rPr>
      <w:rFonts w:asciiTheme="majorHAnsi" w:eastAsiaTheme="majorEastAsia" w:hAnsiTheme="majorHAnsi" w:cs="David"/>
      <w:bCs/>
      <w:sz w:val="32"/>
      <w:szCs w:val="36"/>
    </w:rPr>
  </w:style>
  <w:style w:type="character" w:customStyle="1" w:styleId="20">
    <w:name w:val="כותרת 2 תו"/>
    <w:basedOn w:val="a0"/>
    <w:link w:val="2"/>
    <w:rsid w:val="00C54BBB"/>
    <w:rPr>
      <w:rFonts w:asciiTheme="majorHAnsi" w:eastAsiaTheme="majorEastAsia" w:hAnsiTheme="majorHAnsi" w:cs="David"/>
      <w:bCs/>
      <w:sz w:val="26"/>
      <w:szCs w:val="36"/>
      <w:u w:val="single"/>
    </w:rPr>
  </w:style>
  <w:style w:type="character" w:customStyle="1" w:styleId="30">
    <w:name w:val="כותרת 3 תו"/>
    <w:basedOn w:val="a0"/>
    <w:link w:val="3"/>
    <w:rsid w:val="00C54BBB"/>
    <w:rPr>
      <w:rFonts w:asciiTheme="majorHAnsi" w:eastAsiaTheme="majorEastAsia" w:hAnsiTheme="majorHAnsi" w:cs="David"/>
      <w:sz w:val="24"/>
      <w:szCs w:val="28"/>
      <w:u w:val="double"/>
    </w:rPr>
  </w:style>
  <w:style w:type="character" w:customStyle="1" w:styleId="40">
    <w:name w:val="כותרת 4 תו"/>
    <w:basedOn w:val="a0"/>
    <w:link w:val="4"/>
    <w:uiPriority w:val="9"/>
    <w:rsid w:val="00C54BBB"/>
    <w:rPr>
      <w:rFonts w:ascii="David" w:eastAsiaTheme="minorHAnsi" w:hAnsi="David" w:cs="David"/>
      <w:b/>
      <w:bCs/>
      <w:color w:val="000000" w:themeColor="text1"/>
      <w:sz w:val="24"/>
      <w:szCs w:val="28"/>
    </w:rPr>
  </w:style>
  <w:style w:type="character" w:customStyle="1" w:styleId="50">
    <w:name w:val="כותרת 5 תו"/>
    <w:basedOn w:val="a0"/>
    <w:link w:val="5"/>
    <w:uiPriority w:val="9"/>
    <w:rsid w:val="00C54BBB"/>
    <w:rPr>
      <w:rFonts w:ascii="David" w:eastAsiaTheme="minorHAnsi" w:hAnsi="David" w:cs="David"/>
      <w:color w:val="000000" w:themeColor="text1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C54BBB"/>
    <w:pPr>
      <w:widowControl/>
      <w:spacing w:before="120" w:after="120"/>
      <w:outlineLvl w:val="9"/>
    </w:pPr>
    <w:rPr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C54BBB"/>
    <w:pPr>
      <w:tabs>
        <w:tab w:val="right" w:leader="dot" w:pos="9629"/>
      </w:tabs>
      <w:spacing w:after="100"/>
    </w:pPr>
    <w:rPr>
      <w:bCs/>
      <w:szCs w:val="22"/>
    </w:rPr>
  </w:style>
  <w:style w:type="paragraph" w:styleId="TOC2">
    <w:name w:val="toc 2"/>
    <w:basedOn w:val="a"/>
    <w:next w:val="a"/>
    <w:uiPriority w:val="39"/>
    <w:unhideWhenUsed/>
    <w:rsid w:val="00C54BBB"/>
    <w:pPr>
      <w:tabs>
        <w:tab w:val="right" w:leader="dot" w:pos="9628"/>
      </w:tabs>
      <w:spacing w:after="100"/>
    </w:pPr>
    <w:rPr>
      <w:szCs w:val="22"/>
    </w:rPr>
  </w:style>
  <w:style w:type="character" w:styleId="Hyperlink">
    <w:name w:val="Hyperlink"/>
    <w:basedOn w:val="a0"/>
    <w:uiPriority w:val="99"/>
    <w:unhideWhenUsed/>
    <w:rsid w:val="00C54BBB"/>
    <w:rPr>
      <w:color w:val="0000FF" w:themeColor="hyperlink"/>
      <w:u w:val="single"/>
    </w:rPr>
  </w:style>
  <w:style w:type="paragraph" w:styleId="TOC3">
    <w:name w:val="toc 3"/>
    <w:basedOn w:val="a"/>
    <w:next w:val="a"/>
    <w:uiPriority w:val="39"/>
    <w:unhideWhenUsed/>
    <w:rsid w:val="00C54BBB"/>
    <w:pPr>
      <w:numPr>
        <w:numId w:val="21"/>
      </w:numPr>
      <w:tabs>
        <w:tab w:val="right" w:leader="dot" w:pos="9629"/>
      </w:tabs>
      <w:spacing w:after="100"/>
      <w:ind w:left="811" w:hanging="357"/>
    </w:pPr>
    <w:rPr>
      <w:szCs w:val="22"/>
    </w:rPr>
  </w:style>
  <w:style w:type="paragraph" w:styleId="TOC4">
    <w:name w:val="toc 4"/>
    <w:basedOn w:val="a"/>
    <w:next w:val="a"/>
    <w:autoRedefine/>
    <w:unhideWhenUsed/>
    <w:qFormat/>
    <w:rsid w:val="00C54BBB"/>
    <w:pPr>
      <w:tabs>
        <w:tab w:val="right" w:leader="dot" w:pos="9628"/>
      </w:tabs>
      <w:spacing w:after="100"/>
      <w:ind w:left="567"/>
    </w:pPr>
    <w:rPr>
      <w:rFonts w:asciiTheme="minorHAnsi" w:eastAsiaTheme="minorEastAsia" w:hAnsiTheme="minorHAnsi"/>
      <w:noProof/>
      <w:sz w:val="22"/>
      <w:szCs w:val="22"/>
    </w:rPr>
  </w:style>
  <w:style w:type="paragraph" w:styleId="TOC5">
    <w:name w:val="toc 5"/>
    <w:basedOn w:val="a"/>
    <w:next w:val="a"/>
    <w:semiHidden/>
    <w:unhideWhenUsed/>
    <w:rsid w:val="00C54BBB"/>
    <w:pPr>
      <w:tabs>
        <w:tab w:val="right" w:leader="dot" w:pos="9628"/>
      </w:tabs>
      <w:spacing w:after="100"/>
      <w:ind w:left="567"/>
    </w:pPr>
    <w:rPr>
      <w:szCs w:val="22"/>
    </w:rPr>
  </w:style>
  <w:style w:type="paragraph" w:styleId="TOC6">
    <w:name w:val="toc 6"/>
    <w:basedOn w:val="a"/>
    <w:next w:val="a"/>
    <w:autoRedefine/>
    <w:semiHidden/>
    <w:unhideWhenUsed/>
    <w:rsid w:val="00C54BBB"/>
    <w:pPr>
      <w:spacing w:after="100"/>
      <w:ind w:left="850"/>
    </w:pPr>
  </w:style>
  <w:style w:type="paragraph" w:styleId="TOC7">
    <w:name w:val="toc 7"/>
    <w:basedOn w:val="a"/>
    <w:next w:val="a"/>
    <w:autoRedefine/>
    <w:semiHidden/>
    <w:unhideWhenUsed/>
    <w:rsid w:val="00C54BBB"/>
    <w:pPr>
      <w:spacing w:after="100"/>
      <w:ind w:left="1020"/>
    </w:pPr>
  </w:style>
  <w:style w:type="paragraph" w:styleId="TOC8">
    <w:name w:val="toc 8"/>
    <w:basedOn w:val="a"/>
    <w:next w:val="a"/>
    <w:autoRedefine/>
    <w:semiHidden/>
    <w:unhideWhenUsed/>
    <w:rsid w:val="00C54BBB"/>
    <w:pPr>
      <w:spacing w:after="100"/>
      <w:ind w:left="1190"/>
    </w:pPr>
  </w:style>
  <w:style w:type="paragraph" w:styleId="TOC9">
    <w:name w:val="toc 9"/>
    <w:basedOn w:val="a"/>
    <w:next w:val="a"/>
    <w:autoRedefine/>
    <w:semiHidden/>
    <w:unhideWhenUsed/>
    <w:rsid w:val="00C54BBB"/>
    <w:pPr>
      <w:spacing w:after="100"/>
      <w:ind w:left="1360"/>
    </w:pPr>
  </w:style>
  <w:style w:type="paragraph" w:customStyle="1" w:styleId="TableHead2">
    <w:name w:val="Table Head2"/>
    <w:basedOn w:val="TableHead"/>
    <w:qFormat/>
    <w:rsid w:val="00C54BBB"/>
    <w:pPr>
      <w:outlineLvl w:val="9"/>
    </w:pPr>
  </w:style>
  <w:style w:type="paragraph" w:customStyle="1" w:styleId="TableSideHeading2">
    <w:name w:val="Table SideHeading2"/>
    <w:basedOn w:val="TableSideHeading"/>
    <w:autoRedefine/>
    <w:qFormat/>
    <w:rsid w:val="00C54BBB"/>
    <w:pPr>
      <w:keepLines w:val="0"/>
      <w:outlineLvl w:val="9"/>
    </w:pPr>
  </w:style>
  <w:style w:type="paragraph" w:customStyle="1" w:styleId="0">
    <w:name w:val="סגנון שורה ראשונה:  0  ס''מ"/>
    <w:basedOn w:val="2"/>
    <w:rsid w:val="00C54BBB"/>
    <w:rPr>
      <w:rFonts w:eastAsia="Times New Roman"/>
    </w:rPr>
  </w:style>
  <w:style w:type="paragraph" w:styleId="af">
    <w:name w:val="List Paragraph"/>
    <w:basedOn w:val="a"/>
    <w:uiPriority w:val="34"/>
    <w:qFormat/>
    <w:rsid w:val="00C54BBB"/>
    <w:pPr>
      <w:widowControl/>
      <w:spacing w:line="259" w:lineRule="auto"/>
    </w:pPr>
    <w:rPr>
      <w:rFonts w:asciiTheme="minorHAnsi" w:hAnsiTheme="minorHAnsi"/>
      <w:sz w:val="22"/>
    </w:rPr>
  </w:style>
  <w:style w:type="table" w:styleId="af0">
    <w:name w:val="Table Grid"/>
    <w:basedOn w:val="a1"/>
    <w:rsid w:val="00C54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C54BB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2">
    <w:name w:val="Grid Table 1 Light"/>
    <w:basedOn w:val="a1"/>
    <w:uiPriority w:val="46"/>
    <w:rsid w:val="00C54BB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f1">
    <w:name w:val="טבלת חקיקה"/>
    <w:basedOn w:val="a1"/>
    <w:uiPriority w:val="99"/>
    <w:rsid w:val="00C54BBB"/>
    <w:pPr>
      <w:jc w:val="center"/>
    </w:pPr>
    <w:rPr>
      <w:rFonts w:cstheme="minorBidi"/>
    </w:rPr>
    <w:tblPr/>
    <w:tcPr>
      <w:tcMar>
        <w:left w:w="0" w:type="dxa"/>
        <w:right w:w="0" w:type="dxa"/>
      </w:tcMar>
      <w:vAlign w:val="center"/>
    </w:tcPr>
    <w:tblStylePr w:type="firstRow">
      <w:pPr>
        <w:jc w:val="center"/>
      </w:pPr>
      <w:rPr>
        <w:rFonts w:cs="David"/>
        <w:bCs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10" w:color="auto" w:fill="auto"/>
      </w:tcPr>
    </w:tblStylePr>
    <w:tblStylePr w:type="firstCol">
      <w:tblPr/>
      <w:tcPr>
        <w:noWrap/>
      </w:tcPr>
    </w:tblStylePr>
    <w:tblStylePr w:type="lastCol">
      <w:pPr>
        <w:jc w:val="center"/>
      </w:pPr>
      <w:tblPr/>
      <w:tcPr>
        <w:noWrap/>
      </w:tcPr>
    </w:tblStylePr>
  </w:style>
  <w:style w:type="table" w:customStyle="1" w:styleId="13">
    <w:name w:val="סגנון1"/>
    <w:basedOn w:val="a1"/>
    <w:uiPriority w:val="99"/>
    <w:rsid w:val="00C54BBB"/>
    <w:tblPr/>
    <w:tblStylePr w:type="firstCol">
      <w:pPr>
        <w:keepNext w:val="0"/>
        <w:keepLines/>
        <w:pageBreakBefore w:val="0"/>
        <w:widowControl w:val="0"/>
        <w:suppressLineNumbers w:val="0"/>
        <w:suppressAutoHyphens w:val="0"/>
        <w:wordWrap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97467741CB98040970A6DBBC195775F" ma:contentTypeVersion="" ma:contentTypeDescription="צור מסמך חדש." ma:contentTypeScope="" ma:versionID="6e55fc6acbead604c2f45a2c1dd207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5a2728251a2ce93c0626b1f2c5b5f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4AFE3-9455-419C-8851-785A55F4451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2213C1-1EA9-4BD9-A705-10ABE6305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70699F-C1FB-497D-969F-825554E1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284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דפנה ברנאי</cp:lastModifiedBy>
  <cp:revision>11</cp:revision>
  <cp:lastPrinted>2019-05-22T06:47:00Z</cp:lastPrinted>
  <dcterms:created xsi:type="dcterms:W3CDTF">2015-04-20T09:58:00Z</dcterms:created>
  <dcterms:modified xsi:type="dcterms:W3CDTF">2019-05-22T06:47:00Z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0x010100697467741CB98040970A6DBBC195775F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2078970</vt:r8>
  </property>
</Properties>
</file>