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2078859</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ואחת</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יוזם:</w:t>
      </w:r>
      <w:r>
        <w:tab/>
      </w:r>
      <w:r>
        <w:rPr>
          <w:b/>
          <w:bCs/>
          <w:rtl/>
        </w:rPr>
        <w:t xml:space="preserve">      חבר הכנסת</w:t>
      </w:r>
      <w:bookmarkEnd w:id="2"/>
      <w:r w:rsidR="00B35784" w:rsidRPr="00F67051">
        <w:rPr>
          <w:b/>
          <w:bCs/>
        </w:rPr>
        <w:tab/>
      </w:r>
      <w:bookmarkStart w:id="3" w:name="LGS_PM_Names"/>
      <w:r>
        <w:rPr>
          <w:rFonts w:hint="cs"/>
          <w:b/>
          <w:bCs/>
          <w:rtl/>
        </w:rPr>
        <w:t>אילן גילאון</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C" w14:textId="2455F8EA" w:rsidR="00E13C27" w:rsidRDefault="00904591" w:rsidP="00C11ECD">
      <w:pPr>
        <w:pStyle w:val="David"/>
        <w:spacing w:before="0" w:line="240" w:lineRule="auto"/>
        <w:ind w:left="3544"/>
        <w:rPr>
          <w:rtl/>
        </w:rPr>
      </w:pPr>
      <w:r>
        <w:t xml:space="preserve">                                            </w:t>
      </w:r>
      <w:r w:rsidR="008F1308">
        <w:t xml:space="preserve"> </w:t>
      </w:r>
      <w:bookmarkStart w:id="6" w:name="Private_Number"/>
      <w:r>
        <w:rPr>
          <w:rFonts w:hint="cs"/>
          <w:rtl/>
        </w:rPr>
        <w:t>פ/228/21</w:t>
      </w:r>
      <w:bookmarkEnd w:id="6"/>
    </w:p>
    <w:p w14:paraId="7F6961AD" w14:textId="5EA2282A" w:rsidR="00E13C27" w:rsidRPr="00F67051" w:rsidRDefault="00A443CF" w:rsidP="00CD5947">
      <w:pPr>
        <w:pStyle w:val="HeadHatzaotHok"/>
        <w:rPr>
          <w:rtl/>
        </w:rPr>
      </w:pPr>
      <w:bookmarkStart w:id="7" w:name="LGS_Subject"/>
      <w:r>
        <w:rPr>
          <w:rFonts w:hint="cs"/>
          <w:rtl/>
        </w:rPr>
        <w:t xml:space="preserve">הצעת חוק חניה לנכים (תיקון </w:t>
      </w:r>
      <w:r w:rsidR="00CD5947">
        <w:rPr>
          <w:rFonts w:hint="eastAsia"/>
          <w:rtl/>
        </w:rPr>
        <w:t>–</w:t>
      </w:r>
      <w:r w:rsidR="00CD5947">
        <w:rPr>
          <w:rFonts w:hint="cs"/>
          <w:rtl/>
        </w:rPr>
        <w:t xml:space="preserve"> </w:t>
      </w:r>
      <w:r>
        <w:rPr>
          <w:rFonts w:hint="cs"/>
          <w:rtl/>
        </w:rPr>
        <w:t>תג נכה אישי), התשע"ט</w:t>
      </w:r>
      <w:r w:rsidR="001512EC">
        <w:rPr>
          <w:rFonts w:hint="eastAsia"/>
          <w:rtl/>
        </w:rPr>
        <w:t>–</w:t>
      </w:r>
      <w:r>
        <w:rPr>
          <w:rFonts w:hint="cs"/>
          <w:rtl/>
        </w:rPr>
        <w:t>2019</w:t>
      </w:r>
      <w:bookmarkEnd w:id="7"/>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0"/>
        <w:gridCol w:w="624"/>
        <w:gridCol w:w="624"/>
        <w:gridCol w:w="624"/>
        <w:gridCol w:w="5896"/>
      </w:tblGrid>
      <w:tr w:rsidR="00073C8E" w:rsidRPr="008003DB" w14:paraId="13289C6C" w14:textId="77777777" w:rsidTr="003F609F">
        <w:trPr>
          <w:cantSplit/>
        </w:trPr>
        <w:tc>
          <w:tcPr>
            <w:tcW w:w="1870" w:type="dxa"/>
          </w:tcPr>
          <w:p w14:paraId="78795544" w14:textId="77777777" w:rsidR="00073C8E" w:rsidRDefault="00073C8E" w:rsidP="003F609F">
            <w:pPr>
              <w:pStyle w:val="TableSideHeading"/>
              <w:keepLines w:val="0"/>
              <w:rPr>
                <w:rtl/>
              </w:rPr>
            </w:pPr>
            <w:r>
              <w:rPr>
                <w:rFonts w:hint="cs"/>
                <w:rtl/>
              </w:rPr>
              <w:t>תיקון סעיף 1</w:t>
            </w:r>
          </w:p>
        </w:tc>
        <w:tc>
          <w:tcPr>
            <w:tcW w:w="624" w:type="dxa"/>
          </w:tcPr>
          <w:p w14:paraId="61C8F8E1" w14:textId="77777777" w:rsidR="00073C8E" w:rsidRDefault="00073C8E" w:rsidP="003F609F">
            <w:pPr>
              <w:pStyle w:val="TableText"/>
              <w:keepLines w:val="0"/>
              <w:rPr>
                <w:rtl/>
              </w:rPr>
            </w:pPr>
            <w:r>
              <w:rPr>
                <w:rFonts w:hint="cs"/>
                <w:rtl/>
              </w:rPr>
              <w:t>1.</w:t>
            </w:r>
          </w:p>
        </w:tc>
        <w:tc>
          <w:tcPr>
            <w:tcW w:w="7144" w:type="dxa"/>
            <w:gridSpan w:val="3"/>
          </w:tcPr>
          <w:p w14:paraId="7600AE38" w14:textId="77777777" w:rsidR="00073C8E" w:rsidRPr="008003DB" w:rsidRDefault="00073C8E" w:rsidP="003F609F">
            <w:pPr>
              <w:pStyle w:val="TableHead"/>
              <w:jc w:val="left"/>
              <w:rPr>
                <w:b w:val="0"/>
                <w:bCs w:val="0"/>
                <w:rtl/>
              </w:rPr>
            </w:pPr>
            <w:r w:rsidRPr="008003DB">
              <w:rPr>
                <w:rFonts w:hint="cs"/>
                <w:b w:val="0"/>
                <w:bCs w:val="0"/>
                <w:rtl/>
              </w:rPr>
              <w:t>בחוק חניה לנכים</w:t>
            </w:r>
            <w:r>
              <w:rPr>
                <w:rFonts w:hint="cs"/>
                <w:b w:val="0"/>
                <w:bCs w:val="0"/>
                <w:rtl/>
              </w:rPr>
              <w:t>,</w:t>
            </w:r>
            <w:r w:rsidRPr="008003DB">
              <w:rPr>
                <w:rFonts w:hint="cs"/>
                <w:b w:val="0"/>
                <w:bCs w:val="0"/>
                <w:rtl/>
              </w:rPr>
              <w:t xml:space="preserve"> התשנ"</w:t>
            </w:r>
            <w:r>
              <w:rPr>
                <w:rFonts w:hint="cs"/>
                <w:b w:val="0"/>
                <w:bCs w:val="0"/>
                <w:rtl/>
              </w:rPr>
              <w:t>ד</w:t>
            </w:r>
            <w:r w:rsidRPr="008003DB">
              <w:rPr>
                <w:b w:val="0"/>
                <w:bCs w:val="0"/>
                <w:rtl/>
              </w:rPr>
              <w:t>–</w:t>
            </w:r>
            <w:r w:rsidRPr="008003DB">
              <w:rPr>
                <w:rFonts w:hint="cs"/>
                <w:b w:val="0"/>
                <w:bCs w:val="0"/>
                <w:rtl/>
              </w:rPr>
              <w:t>1993</w:t>
            </w:r>
            <w:r>
              <w:rPr>
                <w:rStyle w:val="a5"/>
                <w:b w:val="0"/>
                <w:bCs w:val="0"/>
                <w:rtl/>
              </w:rPr>
              <w:footnoteReference w:id="2"/>
            </w:r>
            <w:r w:rsidRPr="008003DB">
              <w:rPr>
                <w:rFonts w:hint="cs"/>
                <w:b w:val="0"/>
                <w:bCs w:val="0"/>
                <w:rtl/>
              </w:rPr>
              <w:t xml:space="preserve"> (להלן </w:t>
            </w:r>
            <w:r w:rsidRPr="008003DB">
              <w:rPr>
                <w:b w:val="0"/>
                <w:bCs w:val="0"/>
                <w:rtl/>
              </w:rPr>
              <w:t>–</w:t>
            </w:r>
            <w:r w:rsidRPr="008003DB">
              <w:rPr>
                <w:rFonts w:hint="cs"/>
                <w:b w:val="0"/>
                <w:bCs w:val="0"/>
                <w:rtl/>
              </w:rPr>
              <w:t xml:space="preserve"> החוק העיקרי)</w:t>
            </w:r>
            <w:r>
              <w:rPr>
                <w:rFonts w:hint="cs"/>
                <w:b w:val="0"/>
                <w:bCs w:val="0"/>
                <w:rtl/>
              </w:rPr>
              <w:t xml:space="preserve">, בסעיף 1 </w:t>
            </w:r>
            <w:r>
              <w:rPr>
                <w:rFonts w:hint="eastAsia"/>
                <w:b w:val="0"/>
                <w:bCs w:val="0"/>
                <w:rtl/>
              </w:rPr>
              <w:t>–</w:t>
            </w:r>
            <w:r>
              <w:rPr>
                <w:rFonts w:hint="cs"/>
                <w:b w:val="0"/>
                <w:bCs w:val="0"/>
                <w:rtl/>
              </w:rPr>
              <w:t xml:space="preserve"> </w:t>
            </w:r>
          </w:p>
        </w:tc>
      </w:tr>
      <w:tr w:rsidR="00073C8E" w:rsidRPr="00C34DE2" w14:paraId="77DDD737" w14:textId="77777777" w:rsidTr="003F609F">
        <w:trPr>
          <w:cantSplit/>
        </w:trPr>
        <w:tc>
          <w:tcPr>
            <w:tcW w:w="1870" w:type="dxa"/>
          </w:tcPr>
          <w:p w14:paraId="18059B4D" w14:textId="77777777" w:rsidR="00073C8E" w:rsidRDefault="00073C8E" w:rsidP="003F609F">
            <w:pPr>
              <w:pStyle w:val="TableSideHeading"/>
              <w:keepLines w:val="0"/>
              <w:rPr>
                <w:rtl/>
              </w:rPr>
            </w:pPr>
          </w:p>
        </w:tc>
        <w:tc>
          <w:tcPr>
            <w:tcW w:w="624" w:type="dxa"/>
          </w:tcPr>
          <w:p w14:paraId="2A239810" w14:textId="77777777" w:rsidR="00073C8E" w:rsidRDefault="00073C8E" w:rsidP="003F609F">
            <w:pPr>
              <w:pStyle w:val="TableText"/>
              <w:keepLines w:val="0"/>
              <w:rPr>
                <w:rtl/>
              </w:rPr>
            </w:pPr>
          </w:p>
        </w:tc>
        <w:tc>
          <w:tcPr>
            <w:tcW w:w="7144" w:type="dxa"/>
            <w:gridSpan w:val="3"/>
          </w:tcPr>
          <w:p w14:paraId="328D7568" w14:textId="77777777" w:rsidR="00073C8E" w:rsidRPr="00C34DE2" w:rsidRDefault="00073C8E" w:rsidP="003F609F">
            <w:pPr>
              <w:pStyle w:val="TableBlock"/>
              <w:jc w:val="left"/>
              <w:rPr>
                <w:rtl/>
              </w:rPr>
            </w:pPr>
            <w:r>
              <w:rPr>
                <w:rFonts w:hint="cs"/>
                <w:rtl/>
              </w:rPr>
              <w:t>(1)</w:t>
            </w:r>
            <w:r>
              <w:rPr>
                <w:rtl/>
              </w:rPr>
              <w:tab/>
            </w:r>
            <w:r>
              <w:rPr>
                <w:rFonts w:hint="cs"/>
                <w:rtl/>
              </w:rPr>
              <w:t xml:space="preserve">בהגדרה "תג נכה", במקום הסיפה החל במילים "ואת מספרי הרישוי" </w:t>
            </w:r>
            <w:r w:rsidRPr="001D4A11">
              <w:rPr>
                <w:rFonts w:hint="eastAsia"/>
                <w:rtl/>
              </w:rPr>
              <w:t>יבוא</w:t>
            </w:r>
            <w:r w:rsidRPr="001D4A11">
              <w:rPr>
                <w:rtl/>
              </w:rPr>
              <w:t xml:space="preserve"> "</w:t>
            </w:r>
            <w:r w:rsidRPr="001D4A11">
              <w:rPr>
                <w:rFonts w:hint="eastAsia"/>
                <w:rtl/>
              </w:rPr>
              <w:t>ואמצעי</w:t>
            </w:r>
            <w:r w:rsidRPr="001D4A11">
              <w:rPr>
                <w:rtl/>
              </w:rPr>
              <w:t xml:space="preserve"> </w:t>
            </w:r>
            <w:r w:rsidRPr="001D4A11">
              <w:rPr>
                <w:rFonts w:hint="eastAsia"/>
                <w:rtl/>
              </w:rPr>
              <w:t>זיהוי</w:t>
            </w:r>
            <w:r w:rsidRPr="001D4A11">
              <w:rPr>
                <w:rtl/>
              </w:rPr>
              <w:t xml:space="preserve"> </w:t>
            </w:r>
            <w:r w:rsidRPr="001D4A11">
              <w:rPr>
                <w:rFonts w:hint="eastAsia"/>
                <w:rtl/>
              </w:rPr>
              <w:t>של</w:t>
            </w:r>
            <w:r w:rsidRPr="001D4A11">
              <w:rPr>
                <w:rtl/>
              </w:rPr>
              <w:t xml:space="preserve"> </w:t>
            </w:r>
            <w:r w:rsidRPr="001D4A11">
              <w:rPr>
                <w:rFonts w:hint="eastAsia"/>
                <w:rtl/>
              </w:rPr>
              <w:t>הנכה</w:t>
            </w:r>
            <w:r w:rsidRPr="002F501E">
              <w:rPr>
                <w:rtl/>
              </w:rPr>
              <w:t xml:space="preserve"> </w:t>
            </w:r>
            <w:r w:rsidRPr="005F6E90">
              <w:rPr>
                <w:rtl/>
              </w:rPr>
              <w:t>כפי ש</w:t>
            </w:r>
            <w:r w:rsidRPr="005F6E90">
              <w:rPr>
                <w:rFonts w:hint="eastAsia"/>
                <w:rtl/>
              </w:rPr>
              <w:t>יקבע</w:t>
            </w:r>
            <w:r w:rsidRPr="005F6E90">
              <w:rPr>
                <w:rtl/>
              </w:rPr>
              <w:t xml:space="preserve"> </w:t>
            </w:r>
            <w:r w:rsidRPr="005F6E90">
              <w:rPr>
                <w:rFonts w:hint="eastAsia"/>
                <w:rtl/>
              </w:rPr>
              <w:t>שר</w:t>
            </w:r>
            <w:r w:rsidRPr="005F6E90">
              <w:rPr>
                <w:rtl/>
              </w:rPr>
              <w:t xml:space="preserve"> </w:t>
            </w:r>
            <w:r w:rsidRPr="005F6E90">
              <w:rPr>
                <w:rFonts w:hint="eastAsia"/>
                <w:rtl/>
              </w:rPr>
              <w:t>התחבורה</w:t>
            </w:r>
            <w:r w:rsidRPr="005F6E90">
              <w:rPr>
                <w:rtl/>
              </w:rPr>
              <w:t xml:space="preserve"> </w:t>
            </w:r>
            <w:r w:rsidRPr="005F6E90">
              <w:rPr>
                <w:rFonts w:hint="eastAsia"/>
                <w:rtl/>
              </w:rPr>
              <w:t>והבטיחות</w:t>
            </w:r>
            <w:r w:rsidRPr="005F6E90">
              <w:rPr>
                <w:rtl/>
              </w:rPr>
              <w:t xml:space="preserve"> </w:t>
            </w:r>
            <w:r w:rsidRPr="005F6E90">
              <w:rPr>
                <w:rFonts w:hint="eastAsia"/>
                <w:rtl/>
              </w:rPr>
              <w:t>בדרכים</w:t>
            </w:r>
            <w:r w:rsidRPr="001D4A11">
              <w:rPr>
                <w:rtl/>
              </w:rPr>
              <w:t>";</w:t>
            </w:r>
          </w:p>
        </w:tc>
      </w:tr>
      <w:tr w:rsidR="00073C8E" w:rsidRPr="00FE123B" w14:paraId="3AFEF14F" w14:textId="77777777" w:rsidTr="003F609F">
        <w:trPr>
          <w:cantSplit/>
        </w:trPr>
        <w:tc>
          <w:tcPr>
            <w:tcW w:w="1870" w:type="dxa"/>
          </w:tcPr>
          <w:p w14:paraId="14966147" w14:textId="77777777" w:rsidR="00073C8E" w:rsidRDefault="00073C8E" w:rsidP="003F609F">
            <w:pPr>
              <w:pStyle w:val="TableSideHeading"/>
              <w:keepLines w:val="0"/>
              <w:rPr>
                <w:rtl/>
              </w:rPr>
            </w:pPr>
          </w:p>
        </w:tc>
        <w:tc>
          <w:tcPr>
            <w:tcW w:w="624" w:type="dxa"/>
          </w:tcPr>
          <w:p w14:paraId="681EA3DA" w14:textId="77777777" w:rsidR="00073C8E" w:rsidRDefault="00073C8E" w:rsidP="003F609F">
            <w:pPr>
              <w:pStyle w:val="TableText"/>
              <w:keepLines w:val="0"/>
              <w:rPr>
                <w:rtl/>
              </w:rPr>
            </w:pPr>
          </w:p>
        </w:tc>
        <w:tc>
          <w:tcPr>
            <w:tcW w:w="7144" w:type="dxa"/>
            <w:gridSpan w:val="3"/>
          </w:tcPr>
          <w:p w14:paraId="7A80D1D6" w14:textId="77777777" w:rsidR="00073C8E" w:rsidRPr="00FE123B" w:rsidRDefault="00073C8E" w:rsidP="003F609F">
            <w:pPr>
              <w:pStyle w:val="TableBlock"/>
              <w:jc w:val="left"/>
              <w:rPr>
                <w:rtl/>
              </w:rPr>
            </w:pPr>
            <w:r w:rsidRPr="00FE123B">
              <w:rPr>
                <w:rFonts w:hint="cs"/>
                <w:rtl/>
              </w:rPr>
              <w:t>(2)</w:t>
            </w:r>
            <w:r w:rsidRPr="00FE123B">
              <w:rPr>
                <w:rtl/>
              </w:rPr>
              <w:tab/>
            </w:r>
            <w:r w:rsidRPr="00FE123B">
              <w:rPr>
                <w:rFonts w:hint="cs"/>
                <w:rtl/>
              </w:rPr>
              <w:t xml:space="preserve">ההגדרה "רכב מזכה" </w:t>
            </w:r>
            <w:r w:rsidRPr="00FE123B">
              <w:rPr>
                <w:rtl/>
              </w:rPr>
              <w:t>–</w:t>
            </w:r>
            <w:r w:rsidRPr="00FE123B">
              <w:rPr>
                <w:rFonts w:hint="cs"/>
                <w:rtl/>
              </w:rPr>
              <w:t xml:space="preserve"> תימחק.</w:t>
            </w:r>
          </w:p>
        </w:tc>
      </w:tr>
      <w:tr w:rsidR="00073C8E" w:rsidRPr="00FE123B" w14:paraId="37490364" w14:textId="77777777" w:rsidTr="003F609F">
        <w:trPr>
          <w:cantSplit/>
        </w:trPr>
        <w:tc>
          <w:tcPr>
            <w:tcW w:w="1870" w:type="dxa"/>
          </w:tcPr>
          <w:p w14:paraId="617C3332" w14:textId="77777777" w:rsidR="00073C8E" w:rsidRPr="00FE123B" w:rsidRDefault="00073C8E" w:rsidP="003F609F">
            <w:pPr>
              <w:pStyle w:val="TableSideHeading"/>
              <w:keepLines w:val="0"/>
              <w:rPr>
                <w:rtl/>
              </w:rPr>
            </w:pPr>
            <w:r w:rsidRPr="00FE123B">
              <w:rPr>
                <w:rFonts w:hint="cs"/>
                <w:rtl/>
              </w:rPr>
              <w:t>תיקון סעיף 2</w:t>
            </w:r>
          </w:p>
        </w:tc>
        <w:tc>
          <w:tcPr>
            <w:tcW w:w="624" w:type="dxa"/>
          </w:tcPr>
          <w:p w14:paraId="74C4FAA6" w14:textId="77777777" w:rsidR="00073C8E" w:rsidRPr="00FE123B" w:rsidDel="008003DB" w:rsidRDefault="00073C8E" w:rsidP="003F609F">
            <w:pPr>
              <w:pStyle w:val="TableText"/>
              <w:rPr>
                <w:rtl/>
              </w:rPr>
            </w:pPr>
            <w:r w:rsidRPr="00FE123B">
              <w:rPr>
                <w:rFonts w:hint="cs"/>
                <w:rtl/>
              </w:rPr>
              <w:t>2.</w:t>
            </w:r>
          </w:p>
        </w:tc>
        <w:tc>
          <w:tcPr>
            <w:tcW w:w="7144" w:type="dxa"/>
            <w:gridSpan w:val="3"/>
          </w:tcPr>
          <w:p w14:paraId="43D0AB50" w14:textId="77777777" w:rsidR="00073C8E" w:rsidRPr="00FE123B" w:rsidRDefault="00073C8E" w:rsidP="003F609F">
            <w:pPr>
              <w:pStyle w:val="TableBlock"/>
              <w:jc w:val="left"/>
              <w:rPr>
                <w:rtl/>
              </w:rPr>
            </w:pPr>
            <w:r w:rsidRPr="00FE123B">
              <w:rPr>
                <w:rFonts w:hint="cs"/>
                <w:rtl/>
              </w:rPr>
              <w:t xml:space="preserve">בסעיף 2 לחוק העיקרי </w:t>
            </w:r>
            <w:r w:rsidRPr="00FE123B">
              <w:rPr>
                <w:rFonts w:hint="eastAsia"/>
                <w:rtl/>
              </w:rPr>
              <w:t>–</w:t>
            </w:r>
            <w:r w:rsidRPr="00FE123B">
              <w:rPr>
                <w:rFonts w:hint="cs"/>
                <w:rtl/>
              </w:rPr>
              <w:t xml:space="preserve"> </w:t>
            </w:r>
          </w:p>
        </w:tc>
      </w:tr>
      <w:tr w:rsidR="00073C8E" w:rsidRPr="00FE123B" w14:paraId="1F4C6FB6" w14:textId="77777777" w:rsidTr="003F609F">
        <w:trPr>
          <w:cantSplit/>
        </w:trPr>
        <w:tc>
          <w:tcPr>
            <w:tcW w:w="1870" w:type="dxa"/>
          </w:tcPr>
          <w:p w14:paraId="0713D951" w14:textId="77777777" w:rsidR="00073C8E" w:rsidRPr="00FE123B" w:rsidRDefault="00073C8E" w:rsidP="003F609F">
            <w:pPr>
              <w:pStyle w:val="TableSideHeading"/>
              <w:keepLines w:val="0"/>
              <w:rPr>
                <w:rtl/>
              </w:rPr>
            </w:pPr>
          </w:p>
        </w:tc>
        <w:tc>
          <w:tcPr>
            <w:tcW w:w="624" w:type="dxa"/>
          </w:tcPr>
          <w:p w14:paraId="1F849E91" w14:textId="77777777" w:rsidR="00073C8E" w:rsidRPr="00FE123B" w:rsidRDefault="00073C8E" w:rsidP="003F609F">
            <w:pPr>
              <w:pStyle w:val="TableText"/>
              <w:keepLines w:val="0"/>
              <w:rPr>
                <w:rtl/>
              </w:rPr>
            </w:pPr>
          </w:p>
        </w:tc>
        <w:tc>
          <w:tcPr>
            <w:tcW w:w="7144" w:type="dxa"/>
            <w:gridSpan w:val="3"/>
          </w:tcPr>
          <w:p w14:paraId="3DC3E59C" w14:textId="77777777" w:rsidR="00073C8E" w:rsidRPr="00FE123B" w:rsidRDefault="00073C8E" w:rsidP="003F609F">
            <w:pPr>
              <w:pStyle w:val="TableBlock"/>
              <w:jc w:val="left"/>
              <w:rPr>
                <w:rtl/>
              </w:rPr>
            </w:pPr>
            <w:r w:rsidRPr="00FE123B">
              <w:rPr>
                <w:rtl/>
              </w:rPr>
              <w:t>(1)</w:t>
            </w:r>
            <w:r w:rsidRPr="00FE123B">
              <w:rPr>
                <w:rtl/>
              </w:rPr>
              <w:tab/>
            </w:r>
            <w:r w:rsidRPr="00FE123B">
              <w:rPr>
                <w:rFonts w:hint="eastAsia"/>
                <w:rtl/>
              </w:rPr>
              <w:t>בסעיף</w:t>
            </w:r>
            <w:r w:rsidRPr="00FE123B">
              <w:rPr>
                <w:rtl/>
              </w:rPr>
              <w:t xml:space="preserve"> קטן (א)</w:t>
            </w:r>
            <w:r w:rsidRPr="00FE123B">
              <w:rPr>
                <w:rFonts w:hint="cs"/>
                <w:rtl/>
              </w:rPr>
              <w:t xml:space="preserve"> </w:t>
            </w:r>
            <w:r w:rsidRPr="00FE123B">
              <w:rPr>
                <w:rFonts w:hint="eastAsia"/>
                <w:rtl/>
              </w:rPr>
              <w:t>–</w:t>
            </w:r>
          </w:p>
        </w:tc>
      </w:tr>
      <w:tr w:rsidR="00073C8E" w:rsidRPr="00FE123B" w14:paraId="2278540B" w14:textId="77777777" w:rsidTr="003F609F">
        <w:trPr>
          <w:cantSplit/>
          <w:trHeight w:val="60"/>
        </w:trPr>
        <w:tc>
          <w:tcPr>
            <w:tcW w:w="1870" w:type="dxa"/>
          </w:tcPr>
          <w:p w14:paraId="52664B05" w14:textId="77777777" w:rsidR="00073C8E" w:rsidRPr="00FE123B" w:rsidRDefault="00073C8E" w:rsidP="003F609F">
            <w:pPr>
              <w:pStyle w:val="TableSideHeading"/>
              <w:rPr>
                <w:rtl/>
              </w:rPr>
            </w:pPr>
          </w:p>
        </w:tc>
        <w:tc>
          <w:tcPr>
            <w:tcW w:w="624" w:type="dxa"/>
          </w:tcPr>
          <w:p w14:paraId="3958D79B" w14:textId="77777777" w:rsidR="00073C8E" w:rsidRPr="00FE123B" w:rsidRDefault="00073C8E" w:rsidP="003F609F">
            <w:pPr>
              <w:pStyle w:val="TableText"/>
              <w:rPr>
                <w:rtl/>
              </w:rPr>
            </w:pPr>
          </w:p>
        </w:tc>
        <w:tc>
          <w:tcPr>
            <w:tcW w:w="624" w:type="dxa"/>
          </w:tcPr>
          <w:p w14:paraId="20543884" w14:textId="77777777" w:rsidR="00073C8E" w:rsidRPr="00FE123B" w:rsidRDefault="00073C8E" w:rsidP="003F609F">
            <w:pPr>
              <w:pStyle w:val="TableText"/>
              <w:rPr>
                <w:rtl/>
              </w:rPr>
            </w:pPr>
          </w:p>
        </w:tc>
        <w:tc>
          <w:tcPr>
            <w:tcW w:w="6520" w:type="dxa"/>
            <w:gridSpan w:val="2"/>
          </w:tcPr>
          <w:p w14:paraId="5A08E64F" w14:textId="77777777" w:rsidR="00073C8E" w:rsidRPr="00FE123B" w:rsidRDefault="00073C8E" w:rsidP="003F609F">
            <w:pPr>
              <w:pStyle w:val="TableBlock"/>
              <w:rPr>
                <w:rtl/>
              </w:rPr>
            </w:pPr>
            <w:r w:rsidRPr="00FE123B">
              <w:rPr>
                <w:rFonts w:hint="cs"/>
                <w:rtl/>
              </w:rPr>
              <w:t>(א)</w:t>
            </w:r>
            <w:r w:rsidRPr="00FE123B">
              <w:rPr>
                <w:rtl/>
              </w:rPr>
              <w:tab/>
              <w:t xml:space="preserve">במקום "את רכבו הנושא תג נכה" יבוא "רכב </w:t>
            </w:r>
            <w:r w:rsidRPr="00FE123B">
              <w:rPr>
                <w:rFonts w:hint="cs"/>
                <w:rtl/>
              </w:rPr>
              <w:t>ש</w:t>
            </w:r>
            <w:r w:rsidRPr="00FE123B">
              <w:rPr>
                <w:rtl/>
              </w:rPr>
              <w:t>הוא נוהג</w:t>
            </w:r>
            <w:r w:rsidRPr="00FE123B">
              <w:rPr>
                <w:rFonts w:hint="cs"/>
                <w:rtl/>
              </w:rPr>
              <w:t xml:space="preserve"> בו,</w:t>
            </w:r>
            <w:r w:rsidRPr="00FE123B">
              <w:rPr>
                <w:rtl/>
              </w:rPr>
              <w:t xml:space="preserve"> או </w:t>
            </w:r>
            <w:r w:rsidRPr="00FE123B">
              <w:rPr>
                <w:rFonts w:hint="cs"/>
                <w:rtl/>
              </w:rPr>
              <w:t xml:space="preserve">רכב שהוא </w:t>
            </w:r>
            <w:r w:rsidRPr="00FE123B">
              <w:rPr>
                <w:rFonts w:hint="eastAsia"/>
                <w:rtl/>
              </w:rPr>
              <w:t>מוסע</w:t>
            </w:r>
            <w:r w:rsidRPr="00FE123B">
              <w:rPr>
                <w:rtl/>
              </w:rPr>
              <w:t xml:space="preserve"> בו</w:t>
            </w:r>
            <w:r w:rsidRPr="00FE123B">
              <w:rPr>
                <w:rFonts w:hint="cs"/>
                <w:rtl/>
              </w:rPr>
              <w:t xml:space="preserve"> </w:t>
            </w:r>
            <w:r w:rsidRPr="00FE123B">
              <w:rPr>
                <w:rFonts w:hint="eastAsia"/>
                <w:rtl/>
              </w:rPr>
              <w:t>ונוהג</w:t>
            </w:r>
            <w:r w:rsidRPr="00FE123B">
              <w:rPr>
                <w:rtl/>
              </w:rPr>
              <w:t xml:space="preserve"> </w:t>
            </w:r>
            <w:r w:rsidRPr="00FE123B">
              <w:rPr>
                <w:rFonts w:hint="eastAsia"/>
                <w:rtl/>
              </w:rPr>
              <w:t>בו</w:t>
            </w:r>
            <w:r w:rsidRPr="00FE123B">
              <w:rPr>
                <w:rtl/>
              </w:rPr>
              <w:t xml:space="preserve"> </w:t>
            </w:r>
            <w:r w:rsidRPr="00FE123B">
              <w:rPr>
                <w:rFonts w:hint="eastAsia"/>
                <w:rtl/>
              </w:rPr>
              <w:t>אדם</w:t>
            </w:r>
            <w:r w:rsidRPr="00FE123B">
              <w:rPr>
                <w:rtl/>
              </w:rPr>
              <w:t xml:space="preserve"> </w:t>
            </w:r>
            <w:r w:rsidRPr="00FE123B">
              <w:rPr>
                <w:rFonts w:hint="cs"/>
                <w:rtl/>
              </w:rPr>
              <w:t xml:space="preserve">אחר </w:t>
            </w:r>
            <w:r w:rsidRPr="00FE123B">
              <w:rPr>
                <w:rFonts w:hint="eastAsia"/>
                <w:rtl/>
              </w:rPr>
              <w:t>המתלווה</w:t>
            </w:r>
            <w:r w:rsidRPr="00FE123B">
              <w:rPr>
                <w:rtl/>
              </w:rPr>
              <w:t xml:space="preserve"> </w:t>
            </w:r>
            <w:r w:rsidRPr="00FE123B">
              <w:rPr>
                <w:rFonts w:hint="eastAsia"/>
                <w:rtl/>
              </w:rPr>
              <w:t>אל</w:t>
            </w:r>
            <w:r w:rsidRPr="00FE123B">
              <w:rPr>
                <w:rtl/>
              </w:rPr>
              <w:t xml:space="preserve"> </w:t>
            </w:r>
            <w:r w:rsidRPr="00FE123B">
              <w:rPr>
                <w:rFonts w:hint="eastAsia"/>
                <w:rtl/>
              </w:rPr>
              <w:t>הנכה</w:t>
            </w:r>
            <w:r w:rsidRPr="00FE123B">
              <w:rPr>
                <w:rtl/>
              </w:rPr>
              <w:t xml:space="preserve"> </w:t>
            </w:r>
            <w:r w:rsidRPr="00FE123B">
              <w:rPr>
                <w:rFonts w:hint="eastAsia"/>
                <w:rtl/>
              </w:rPr>
              <w:t>והנוהג</w:t>
            </w:r>
            <w:r w:rsidRPr="00FE123B">
              <w:rPr>
                <w:rtl/>
              </w:rPr>
              <w:t xml:space="preserve"> </w:t>
            </w:r>
            <w:r w:rsidRPr="00FE123B">
              <w:rPr>
                <w:rFonts w:hint="eastAsia"/>
                <w:rtl/>
              </w:rPr>
              <w:t>עבורו</w:t>
            </w:r>
            <w:r w:rsidRPr="00FE123B">
              <w:rPr>
                <w:rtl/>
              </w:rPr>
              <w:t xml:space="preserve"> </w:t>
            </w:r>
            <w:r w:rsidRPr="00FE123B">
              <w:rPr>
                <w:rFonts w:hint="eastAsia"/>
                <w:rtl/>
              </w:rPr>
              <w:t>ברכב</w:t>
            </w:r>
            <w:r w:rsidRPr="00FE123B">
              <w:rPr>
                <w:rtl/>
              </w:rPr>
              <w:t>";</w:t>
            </w:r>
          </w:p>
        </w:tc>
      </w:tr>
      <w:tr w:rsidR="00073C8E" w:rsidRPr="00FE123B" w14:paraId="4B0C34E9" w14:textId="77777777" w:rsidTr="003F609F">
        <w:trPr>
          <w:cantSplit/>
          <w:trHeight w:val="60"/>
        </w:trPr>
        <w:tc>
          <w:tcPr>
            <w:tcW w:w="1870" w:type="dxa"/>
          </w:tcPr>
          <w:p w14:paraId="7D3D00AF" w14:textId="77777777" w:rsidR="00073C8E" w:rsidRPr="00FE123B" w:rsidRDefault="00073C8E" w:rsidP="003F609F">
            <w:pPr>
              <w:pStyle w:val="TableSideHeading"/>
              <w:rPr>
                <w:rtl/>
              </w:rPr>
            </w:pPr>
          </w:p>
        </w:tc>
        <w:tc>
          <w:tcPr>
            <w:tcW w:w="624" w:type="dxa"/>
          </w:tcPr>
          <w:p w14:paraId="28503FD9" w14:textId="77777777" w:rsidR="00073C8E" w:rsidRPr="00FE123B" w:rsidRDefault="00073C8E" w:rsidP="003F609F">
            <w:pPr>
              <w:pStyle w:val="TableText"/>
              <w:rPr>
                <w:rtl/>
              </w:rPr>
            </w:pPr>
          </w:p>
        </w:tc>
        <w:tc>
          <w:tcPr>
            <w:tcW w:w="624" w:type="dxa"/>
          </w:tcPr>
          <w:p w14:paraId="29AE2E7E" w14:textId="77777777" w:rsidR="00073C8E" w:rsidRPr="00FE123B" w:rsidRDefault="00073C8E" w:rsidP="003F609F">
            <w:pPr>
              <w:pStyle w:val="TableText"/>
              <w:rPr>
                <w:rtl/>
              </w:rPr>
            </w:pPr>
          </w:p>
        </w:tc>
        <w:tc>
          <w:tcPr>
            <w:tcW w:w="6520" w:type="dxa"/>
            <w:gridSpan w:val="2"/>
          </w:tcPr>
          <w:p w14:paraId="1A3A5644" w14:textId="77777777" w:rsidR="00073C8E" w:rsidRPr="00FE123B" w:rsidRDefault="00073C8E" w:rsidP="003F609F">
            <w:pPr>
              <w:pStyle w:val="TableBlock"/>
              <w:rPr>
                <w:rtl/>
              </w:rPr>
            </w:pPr>
            <w:r w:rsidRPr="00FE123B">
              <w:rPr>
                <w:rFonts w:hint="cs"/>
                <w:rtl/>
              </w:rPr>
              <w:t>(ב)</w:t>
            </w:r>
            <w:r w:rsidRPr="00FE123B">
              <w:rPr>
                <w:rtl/>
              </w:rPr>
              <w:tab/>
            </w:r>
            <w:r w:rsidRPr="00FE123B">
              <w:rPr>
                <w:rFonts w:hint="cs"/>
                <w:rtl/>
              </w:rPr>
              <w:t>אחרי פסקה (4) יבוא:</w:t>
            </w:r>
          </w:p>
        </w:tc>
      </w:tr>
      <w:tr w:rsidR="00073C8E" w:rsidRPr="00FE123B" w14:paraId="77F16559" w14:textId="77777777" w:rsidTr="003F609F">
        <w:trPr>
          <w:cantSplit/>
          <w:trHeight w:val="60"/>
        </w:trPr>
        <w:tc>
          <w:tcPr>
            <w:tcW w:w="1870" w:type="dxa"/>
          </w:tcPr>
          <w:p w14:paraId="2E56B00D" w14:textId="77777777" w:rsidR="00073C8E" w:rsidRPr="00FE123B" w:rsidRDefault="00073C8E" w:rsidP="003F609F">
            <w:pPr>
              <w:pStyle w:val="TableSideHeading"/>
              <w:rPr>
                <w:rtl/>
              </w:rPr>
            </w:pPr>
          </w:p>
        </w:tc>
        <w:tc>
          <w:tcPr>
            <w:tcW w:w="624" w:type="dxa"/>
          </w:tcPr>
          <w:p w14:paraId="4EACC1A8" w14:textId="77777777" w:rsidR="00073C8E" w:rsidRPr="00FE123B" w:rsidRDefault="00073C8E" w:rsidP="003F609F">
            <w:pPr>
              <w:pStyle w:val="TableText"/>
              <w:rPr>
                <w:rtl/>
              </w:rPr>
            </w:pPr>
          </w:p>
        </w:tc>
        <w:tc>
          <w:tcPr>
            <w:tcW w:w="624" w:type="dxa"/>
          </w:tcPr>
          <w:p w14:paraId="548E2930" w14:textId="77777777" w:rsidR="00073C8E" w:rsidRPr="00FE123B" w:rsidRDefault="00073C8E" w:rsidP="003F609F">
            <w:pPr>
              <w:pStyle w:val="TableText"/>
              <w:rPr>
                <w:rtl/>
              </w:rPr>
            </w:pPr>
          </w:p>
        </w:tc>
        <w:tc>
          <w:tcPr>
            <w:tcW w:w="624" w:type="dxa"/>
          </w:tcPr>
          <w:p w14:paraId="6CCF0A80" w14:textId="77777777" w:rsidR="00073C8E" w:rsidRPr="00FE123B" w:rsidRDefault="00073C8E" w:rsidP="003F609F">
            <w:pPr>
              <w:pStyle w:val="TableText"/>
              <w:rPr>
                <w:rtl/>
              </w:rPr>
            </w:pPr>
          </w:p>
        </w:tc>
        <w:tc>
          <w:tcPr>
            <w:tcW w:w="5896" w:type="dxa"/>
          </w:tcPr>
          <w:p w14:paraId="5DD2B833" w14:textId="77777777" w:rsidR="00073C8E" w:rsidRPr="00FE123B" w:rsidRDefault="00073C8E" w:rsidP="003F609F">
            <w:pPr>
              <w:pStyle w:val="TableBlock"/>
              <w:rPr>
                <w:rtl/>
              </w:rPr>
            </w:pPr>
            <w:r w:rsidRPr="00FE123B">
              <w:rPr>
                <w:rFonts w:hint="cs"/>
                <w:rtl/>
              </w:rPr>
              <w:t>"(5)</w:t>
            </w:r>
            <w:r w:rsidRPr="00FE123B">
              <w:rPr>
                <w:rtl/>
              </w:rPr>
              <w:tab/>
            </w:r>
            <w:r w:rsidRPr="00FE123B">
              <w:rPr>
                <w:rFonts w:hint="cs"/>
                <w:rtl/>
              </w:rPr>
              <w:t>בעת החניה מוצג ברכב תג נכה.";</w:t>
            </w:r>
          </w:p>
        </w:tc>
      </w:tr>
      <w:tr w:rsidR="00073C8E" w:rsidRPr="00FE123B" w14:paraId="7B10D005" w14:textId="77777777" w:rsidTr="003F609F">
        <w:trPr>
          <w:cantSplit/>
        </w:trPr>
        <w:tc>
          <w:tcPr>
            <w:tcW w:w="1870" w:type="dxa"/>
          </w:tcPr>
          <w:p w14:paraId="02CA0BF6" w14:textId="77777777" w:rsidR="00073C8E" w:rsidRPr="00FE123B" w:rsidRDefault="00073C8E" w:rsidP="003F609F">
            <w:pPr>
              <w:pStyle w:val="TableSideHeading"/>
              <w:keepLines w:val="0"/>
              <w:rPr>
                <w:rtl/>
              </w:rPr>
            </w:pPr>
          </w:p>
        </w:tc>
        <w:tc>
          <w:tcPr>
            <w:tcW w:w="624" w:type="dxa"/>
          </w:tcPr>
          <w:p w14:paraId="1C397CF7" w14:textId="77777777" w:rsidR="00073C8E" w:rsidRPr="00FE123B" w:rsidRDefault="00073C8E" w:rsidP="003F609F">
            <w:pPr>
              <w:pStyle w:val="TableText"/>
              <w:keepLines w:val="0"/>
              <w:rPr>
                <w:rtl/>
              </w:rPr>
            </w:pPr>
          </w:p>
        </w:tc>
        <w:tc>
          <w:tcPr>
            <w:tcW w:w="7144" w:type="dxa"/>
            <w:gridSpan w:val="3"/>
          </w:tcPr>
          <w:p w14:paraId="647BC3BB" w14:textId="77777777" w:rsidR="00073C8E" w:rsidRPr="00FE123B" w:rsidRDefault="00073C8E" w:rsidP="003F609F">
            <w:pPr>
              <w:pStyle w:val="TableBlock"/>
              <w:jc w:val="left"/>
              <w:rPr>
                <w:rtl/>
              </w:rPr>
            </w:pPr>
            <w:r w:rsidRPr="00FE123B">
              <w:rPr>
                <w:rtl/>
              </w:rPr>
              <w:t>(2)</w:t>
            </w:r>
            <w:r w:rsidRPr="00FE123B">
              <w:rPr>
                <w:rtl/>
              </w:rPr>
              <w:tab/>
            </w:r>
            <w:r w:rsidRPr="00FE123B">
              <w:rPr>
                <w:rFonts w:hint="eastAsia"/>
                <w:rtl/>
              </w:rPr>
              <w:t>סעיף</w:t>
            </w:r>
            <w:r w:rsidRPr="00FE123B">
              <w:rPr>
                <w:rtl/>
              </w:rPr>
              <w:t xml:space="preserve"> קטן (ב) – </w:t>
            </w:r>
            <w:r w:rsidRPr="00FE123B">
              <w:rPr>
                <w:rFonts w:hint="eastAsia"/>
                <w:rtl/>
              </w:rPr>
              <w:t>בטל</w:t>
            </w:r>
            <w:r w:rsidRPr="00FE123B">
              <w:rPr>
                <w:rFonts w:hint="cs"/>
                <w:rtl/>
              </w:rPr>
              <w:t>.</w:t>
            </w:r>
          </w:p>
        </w:tc>
      </w:tr>
    </w:tbl>
    <w:p w14:paraId="7F6961AE" w14:textId="77777777" w:rsidR="00E13C27" w:rsidRDefault="00E13C27" w:rsidP="0021633A">
      <w:pPr>
        <w:pStyle w:val="HeadDivreiHesber"/>
        <w:spacing w:before="0" w:after="0"/>
        <w:rPr>
          <w:rtl/>
        </w:rPr>
      </w:pPr>
    </w:p>
    <w:p w14:paraId="7F6961CA" w14:textId="77777777" w:rsidR="002D1EE3" w:rsidRDefault="002D1EE3" w:rsidP="002D1EE3">
      <w:pPr>
        <w:pStyle w:val="HeadDivreiHesber"/>
        <w:rPr>
          <w:rtl/>
        </w:rPr>
      </w:pPr>
      <w:r w:rsidRPr="0027450A">
        <w:rPr>
          <w:rFonts w:hint="cs"/>
          <w:rtl/>
        </w:rPr>
        <w:t>דברי הסבר</w:t>
      </w:r>
    </w:p>
    <w:p w14:paraId="527AE7A4" w14:textId="77777777" w:rsidR="00073C8E" w:rsidRPr="00D152D7" w:rsidRDefault="00073C8E" w:rsidP="00073C8E">
      <w:pPr>
        <w:pStyle w:val="Hesber"/>
      </w:pPr>
      <w:r w:rsidRPr="00D152D7">
        <w:rPr>
          <w:rtl/>
        </w:rPr>
        <w:t>לאזרחים המוגבלים בניידותם הרכב משמש כרגליים. הוא מאפשר להם חופש תנועה ובכך את מימוש זכותם הבסיסית</w:t>
      </w:r>
      <w:r>
        <w:rPr>
          <w:rFonts w:hint="cs"/>
          <w:rtl/>
        </w:rPr>
        <w:t xml:space="preserve"> לנוע בחופשיות</w:t>
      </w:r>
      <w:r w:rsidRPr="00D152D7">
        <w:rPr>
          <w:rtl/>
        </w:rPr>
        <w:t xml:space="preserve">. האפשרות לחנות קרוב למקום יעדם חיונית באופן מהותי עבור אותם נכים. </w:t>
      </w:r>
      <w:r>
        <w:rPr>
          <w:rFonts w:hint="cs"/>
          <w:rtl/>
        </w:rPr>
        <w:t xml:space="preserve">ואולם, בשל המצב המשפטי כיום מתקשה קהילת הנכים בישראל לממש את זכותם האמורה. </w:t>
      </w:r>
    </w:p>
    <w:p w14:paraId="50154FF3" w14:textId="77777777" w:rsidR="00073C8E" w:rsidRDefault="00073C8E" w:rsidP="00073C8E">
      <w:pPr>
        <w:pStyle w:val="Hesber"/>
        <w:rPr>
          <w:rtl/>
        </w:rPr>
      </w:pPr>
      <w:r w:rsidRPr="00D152D7">
        <w:rPr>
          <w:rtl/>
        </w:rPr>
        <w:t xml:space="preserve">על פי חוק </w:t>
      </w:r>
      <w:r>
        <w:rPr>
          <w:rFonts w:hint="cs"/>
          <w:rtl/>
        </w:rPr>
        <w:t>חניה לנכים, התשנ"ד–1993 (להלן – החוק)</w:t>
      </w:r>
      <w:r>
        <w:rPr>
          <w:rtl/>
        </w:rPr>
        <w:t>, תג נכה מונפק עבור רכבו של נכה</w:t>
      </w:r>
      <w:r>
        <w:rPr>
          <w:rFonts w:hint="cs"/>
          <w:rtl/>
        </w:rPr>
        <w:t xml:space="preserve"> והוא נושא את</w:t>
      </w:r>
      <w:r w:rsidRPr="00D152D7">
        <w:rPr>
          <w:rtl/>
        </w:rPr>
        <w:t xml:space="preserve"> מספר הרישוי של הרכב. כמו כן, כאשר בבעלותו של הנכה רכב נוסף, יש באפשרותו לבקש </w:t>
      </w:r>
      <w:r>
        <w:rPr>
          <w:rFonts w:hint="cs"/>
          <w:rtl/>
        </w:rPr>
        <w:t xml:space="preserve">לכל היותר </w:t>
      </w:r>
      <w:r w:rsidRPr="00D152D7">
        <w:rPr>
          <w:rtl/>
        </w:rPr>
        <w:t xml:space="preserve">תג נכה </w:t>
      </w:r>
      <w:r>
        <w:rPr>
          <w:rFonts w:hint="cs"/>
          <w:rtl/>
        </w:rPr>
        <w:t>נוסף</w:t>
      </w:r>
      <w:r w:rsidRPr="00D152D7">
        <w:rPr>
          <w:rtl/>
        </w:rPr>
        <w:t xml:space="preserve">. </w:t>
      </w:r>
      <w:r>
        <w:rPr>
          <w:rFonts w:hint="cs"/>
          <w:rtl/>
        </w:rPr>
        <w:t>ה</w:t>
      </w:r>
      <w:r w:rsidRPr="00D152D7">
        <w:rPr>
          <w:rtl/>
        </w:rPr>
        <w:t xml:space="preserve">מצב הנוכחי </w:t>
      </w:r>
      <w:r>
        <w:rPr>
          <w:rFonts w:hint="cs"/>
          <w:rtl/>
        </w:rPr>
        <w:t xml:space="preserve">יוצר </w:t>
      </w:r>
      <w:r w:rsidRPr="00D152D7">
        <w:rPr>
          <w:rtl/>
        </w:rPr>
        <w:t>בעיה חמורה</w:t>
      </w:r>
      <w:r>
        <w:rPr>
          <w:rFonts w:hint="cs"/>
          <w:rtl/>
        </w:rPr>
        <w:t>,</w:t>
      </w:r>
      <w:r w:rsidRPr="00D152D7">
        <w:rPr>
          <w:rtl/>
        </w:rPr>
        <w:t xml:space="preserve"> </w:t>
      </w:r>
      <w:r>
        <w:rPr>
          <w:rFonts w:hint="cs"/>
          <w:rtl/>
        </w:rPr>
        <w:t>הואיל ו</w:t>
      </w:r>
      <w:r w:rsidRPr="00D152D7">
        <w:rPr>
          <w:rtl/>
        </w:rPr>
        <w:t xml:space="preserve">כאשר מבקש הנכה לנסוע ברכב אחר, רכב </w:t>
      </w:r>
      <w:r>
        <w:rPr>
          <w:rFonts w:hint="cs"/>
          <w:rtl/>
        </w:rPr>
        <w:t>שלא הונפק עבורו</w:t>
      </w:r>
      <w:r w:rsidRPr="00D152D7">
        <w:rPr>
          <w:rtl/>
        </w:rPr>
        <w:t xml:space="preserve"> </w:t>
      </w:r>
      <w:r>
        <w:rPr>
          <w:rFonts w:hint="cs"/>
          <w:rtl/>
        </w:rPr>
        <w:t xml:space="preserve">תג נכה </w:t>
      </w:r>
      <w:r w:rsidRPr="00D152D7">
        <w:rPr>
          <w:rtl/>
        </w:rPr>
        <w:t xml:space="preserve">במשרד הרישוי, </w:t>
      </w:r>
      <w:r>
        <w:rPr>
          <w:rFonts w:hint="cs"/>
          <w:rtl/>
        </w:rPr>
        <w:t>הוא אינו יכול</w:t>
      </w:r>
      <w:r w:rsidRPr="00D152D7">
        <w:rPr>
          <w:rtl/>
        </w:rPr>
        <w:t xml:space="preserve"> ליהנות </w:t>
      </w:r>
      <w:r>
        <w:rPr>
          <w:rFonts w:hint="cs"/>
          <w:rtl/>
        </w:rPr>
        <w:t>מ</w:t>
      </w:r>
      <w:r w:rsidRPr="00D152D7">
        <w:rPr>
          <w:rtl/>
        </w:rPr>
        <w:t xml:space="preserve">ההטבות המגיעות לו. </w:t>
      </w:r>
      <w:r>
        <w:rPr>
          <w:rFonts w:hint="cs"/>
          <w:rtl/>
        </w:rPr>
        <w:t xml:space="preserve">כך למשל, </w:t>
      </w:r>
      <w:r w:rsidRPr="00D152D7">
        <w:rPr>
          <w:rtl/>
        </w:rPr>
        <w:t>כאשר מתנייד הנכה ברכב של אחד מקרוביו</w:t>
      </w:r>
      <w:r>
        <w:rPr>
          <w:rFonts w:hint="cs"/>
          <w:rtl/>
        </w:rPr>
        <w:t>,</w:t>
      </w:r>
      <w:r w:rsidRPr="00D152D7">
        <w:rPr>
          <w:rtl/>
        </w:rPr>
        <w:t xml:space="preserve"> בין אם הוא הנהג ובין אם לאו</w:t>
      </w:r>
      <w:r>
        <w:rPr>
          <w:rFonts w:hint="cs"/>
          <w:rtl/>
        </w:rPr>
        <w:t>,</w:t>
      </w:r>
      <w:r w:rsidRPr="00D152D7">
        <w:rPr>
          <w:rtl/>
        </w:rPr>
        <w:t xml:space="preserve"> </w:t>
      </w:r>
      <w:r>
        <w:rPr>
          <w:rFonts w:hint="cs"/>
          <w:rtl/>
        </w:rPr>
        <w:t>נ</w:t>
      </w:r>
      <w:r w:rsidRPr="00D152D7">
        <w:rPr>
          <w:rtl/>
        </w:rPr>
        <w:t xml:space="preserve">אלץ הנכה לוותר על זכויותיו. </w:t>
      </w:r>
    </w:p>
    <w:p w14:paraId="5CA90128" w14:textId="77777777" w:rsidR="00073C8E" w:rsidRDefault="00073C8E" w:rsidP="00073C8E">
      <w:pPr>
        <w:pStyle w:val="Hesber"/>
        <w:rPr>
          <w:rtl/>
        </w:rPr>
      </w:pPr>
      <w:r w:rsidRPr="00D152D7">
        <w:rPr>
          <w:rtl/>
        </w:rPr>
        <w:t xml:space="preserve">הבירוקרטיה הכרוכה בהוצאת </w:t>
      </w:r>
      <w:r>
        <w:rPr>
          <w:rFonts w:hint="cs"/>
          <w:rtl/>
        </w:rPr>
        <w:t>תג נכה</w:t>
      </w:r>
      <w:r w:rsidRPr="00D152D7">
        <w:rPr>
          <w:rtl/>
        </w:rPr>
        <w:t xml:space="preserve"> לרכב כיום מהווה תסבוכת מיותרת. בכל פעם שנוצר צורך </w:t>
      </w:r>
      <w:r w:rsidRPr="00D152D7">
        <w:rPr>
          <w:rtl/>
        </w:rPr>
        <w:lastRenderedPageBreak/>
        <w:t>לשנות את מספרי ה</w:t>
      </w:r>
      <w:r>
        <w:rPr>
          <w:rFonts w:hint="cs"/>
          <w:rtl/>
        </w:rPr>
        <w:t xml:space="preserve">רישוי של </w:t>
      </w:r>
      <w:r w:rsidRPr="00D152D7">
        <w:rPr>
          <w:rtl/>
        </w:rPr>
        <w:t>רכבים המאושרים</w:t>
      </w:r>
      <w:r>
        <w:rPr>
          <w:rFonts w:hint="cs"/>
          <w:rtl/>
        </w:rPr>
        <w:t xml:space="preserve"> כרכב של האדם הנכה</w:t>
      </w:r>
      <w:r w:rsidRPr="00D152D7">
        <w:rPr>
          <w:rtl/>
        </w:rPr>
        <w:t xml:space="preserve">, </w:t>
      </w:r>
      <w:r>
        <w:rPr>
          <w:rFonts w:hint="cs"/>
          <w:rtl/>
        </w:rPr>
        <w:t>נ</w:t>
      </w:r>
      <w:r w:rsidRPr="00D152D7">
        <w:rPr>
          <w:rtl/>
        </w:rPr>
        <w:t xml:space="preserve">אלץ האדם להנפיק אישורים חדשים. </w:t>
      </w:r>
    </w:p>
    <w:p w14:paraId="5A9E3A3D" w14:textId="77777777" w:rsidR="00073C8E" w:rsidRPr="00D152D7" w:rsidRDefault="00073C8E" w:rsidP="00073C8E">
      <w:pPr>
        <w:pStyle w:val="Hesber"/>
        <w:rPr>
          <w:rtl/>
        </w:rPr>
      </w:pPr>
      <w:r>
        <w:rPr>
          <w:rFonts w:hint="cs"/>
          <w:rtl/>
        </w:rPr>
        <w:t>החוק יוצר בעיה גם כאשר</w:t>
      </w:r>
      <w:r w:rsidRPr="00D152D7">
        <w:rPr>
          <w:rtl/>
        </w:rPr>
        <w:t xml:space="preserve"> הרכב המאושר לחנות בחניה המיועדת לנכים אינו בהכרח בשימוש</w:t>
      </w:r>
      <w:r>
        <w:rPr>
          <w:rFonts w:hint="cs"/>
          <w:rtl/>
        </w:rPr>
        <w:t>ו</w:t>
      </w:r>
      <w:r w:rsidRPr="00D152D7">
        <w:rPr>
          <w:rtl/>
        </w:rPr>
        <w:t xml:space="preserve"> האישי של הנכה אלה בשימוש של אחד מקרוביו. </w:t>
      </w:r>
      <w:r>
        <w:rPr>
          <w:rFonts w:hint="cs"/>
          <w:rtl/>
        </w:rPr>
        <w:t xml:space="preserve"> הדבר מעודד</w:t>
      </w:r>
      <w:r w:rsidRPr="00D152D7">
        <w:rPr>
          <w:rtl/>
        </w:rPr>
        <w:t xml:space="preserve"> שימוש באישור החניה המיוחד </w:t>
      </w:r>
      <w:r>
        <w:rPr>
          <w:rFonts w:hint="cs"/>
          <w:rtl/>
        </w:rPr>
        <w:t xml:space="preserve">לנכים </w:t>
      </w:r>
      <w:r w:rsidRPr="00D152D7">
        <w:rPr>
          <w:rtl/>
        </w:rPr>
        <w:t>באופן לא הגון ו</w:t>
      </w:r>
      <w:r>
        <w:rPr>
          <w:rFonts w:hint="cs"/>
          <w:rtl/>
        </w:rPr>
        <w:t>גורם לכך ש</w:t>
      </w:r>
      <w:r w:rsidRPr="00D152D7">
        <w:rPr>
          <w:rtl/>
        </w:rPr>
        <w:t>חניות נכה נתפסות שלא כחוק. הבעיה המוצגת אינה עניין של מה בכך</w:t>
      </w:r>
      <w:r>
        <w:rPr>
          <w:rFonts w:hint="cs"/>
          <w:rtl/>
        </w:rPr>
        <w:t>, מדובר</w:t>
      </w:r>
      <w:r w:rsidRPr="00D152D7">
        <w:rPr>
          <w:rtl/>
        </w:rPr>
        <w:t xml:space="preserve"> </w:t>
      </w:r>
      <w:r>
        <w:rPr>
          <w:rFonts w:hint="cs"/>
          <w:rtl/>
        </w:rPr>
        <w:t>ב</w:t>
      </w:r>
      <w:r w:rsidRPr="00D152D7">
        <w:rPr>
          <w:rtl/>
        </w:rPr>
        <w:t xml:space="preserve">סוגיה רחבה. הגבלת הטבת </w:t>
      </w:r>
      <w:r>
        <w:rPr>
          <w:rFonts w:hint="cs"/>
          <w:rtl/>
        </w:rPr>
        <w:t xml:space="preserve">החניה עבור </w:t>
      </w:r>
      <w:r w:rsidRPr="00D152D7">
        <w:rPr>
          <w:rtl/>
        </w:rPr>
        <w:t>הנכה לרכבו האישי מהווה בעיה הגורמת לעוול יום יומי של אוכלוסיית הנכים בישראל, לבירוקרטיה מיותרת המקשה על האזרח הנכה, ולשימוש בתגי הנכה באופן לא הגון.</w:t>
      </w:r>
    </w:p>
    <w:p w14:paraId="032D26C8" w14:textId="2A41B15F" w:rsidR="00073C8E" w:rsidRDefault="00073C8E" w:rsidP="001C3AC3">
      <w:pPr>
        <w:pStyle w:val="Hesber"/>
        <w:rPr>
          <w:rtl/>
        </w:rPr>
      </w:pPr>
      <w:r w:rsidRPr="00D152D7">
        <w:rPr>
          <w:rtl/>
        </w:rPr>
        <w:t xml:space="preserve">הצעת חוק </w:t>
      </w:r>
      <w:r w:rsidR="001C3AC3">
        <w:rPr>
          <w:rFonts w:hint="cs"/>
          <w:rtl/>
        </w:rPr>
        <w:t>זו</w:t>
      </w:r>
      <w:r w:rsidR="001C3AC3" w:rsidRPr="00D152D7">
        <w:rPr>
          <w:rtl/>
        </w:rPr>
        <w:t xml:space="preserve"> </w:t>
      </w:r>
      <w:r w:rsidRPr="00D152D7">
        <w:rPr>
          <w:rtl/>
        </w:rPr>
        <w:t>מבקשת להסדיר את הבעיה</w:t>
      </w:r>
      <w:r>
        <w:rPr>
          <w:rFonts w:hint="cs"/>
          <w:rtl/>
        </w:rPr>
        <w:t xml:space="preserve"> האמורה</w:t>
      </w:r>
      <w:r w:rsidRPr="00D152D7">
        <w:rPr>
          <w:rtl/>
        </w:rPr>
        <w:t xml:space="preserve">. </w:t>
      </w:r>
      <w:r>
        <w:rPr>
          <w:rFonts w:hint="cs"/>
          <w:rtl/>
        </w:rPr>
        <w:t xml:space="preserve">על כן, מוצע לקבוע שבתג הנכה יופיעו רק פרטיו האישיים של הנכה, ללא מספר הרישוי של הרכב. </w:t>
      </w:r>
      <w:r w:rsidRPr="00D152D7">
        <w:rPr>
          <w:rtl/>
        </w:rPr>
        <w:t xml:space="preserve">הנפקת תג נכה אישי </w:t>
      </w:r>
      <w:r>
        <w:rPr>
          <w:rFonts w:hint="cs"/>
          <w:rtl/>
        </w:rPr>
        <w:t>ת</w:t>
      </w:r>
      <w:r w:rsidRPr="00D152D7">
        <w:rPr>
          <w:rtl/>
        </w:rPr>
        <w:t xml:space="preserve">אפשר לנכה לממש את זכויותיו באופן </w:t>
      </w:r>
      <w:r>
        <w:rPr>
          <w:rFonts w:hint="cs"/>
          <w:rtl/>
        </w:rPr>
        <w:t>מלא</w:t>
      </w:r>
      <w:r w:rsidRPr="00D152D7">
        <w:rPr>
          <w:rtl/>
        </w:rPr>
        <w:t xml:space="preserve"> והגון יותר. </w:t>
      </w:r>
      <w:r>
        <w:rPr>
          <w:rFonts w:hint="cs"/>
          <w:rtl/>
        </w:rPr>
        <w:t xml:space="preserve">כאמור, </w:t>
      </w:r>
      <w:r w:rsidRPr="00D152D7">
        <w:rPr>
          <w:rtl/>
        </w:rPr>
        <w:t xml:space="preserve">רכבו של הנכה מהווה </w:t>
      </w:r>
      <w:r>
        <w:rPr>
          <w:rFonts w:hint="cs"/>
          <w:rtl/>
        </w:rPr>
        <w:t>עבורו תחליף לרגליים</w:t>
      </w:r>
      <w:r w:rsidRPr="00D152D7">
        <w:rPr>
          <w:rtl/>
        </w:rPr>
        <w:t>.</w:t>
      </w:r>
      <w:r>
        <w:rPr>
          <w:rFonts w:hint="cs"/>
          <w:rtl/>
        </w:rPr>
        <w:t xml:space="preserve"> עבור אוכלוסיית הנכים</w:t>
      </w:r>
      <w:r w:rsidRPr="00D152D7">
        <w:rPr>
          <w:rtl/>
        </w:rPr>
        <w:t xml:space="preserve"> התלות ברכב גבוהה ביותר והשימוש בו חסר תחליף. </w:t>
      </w:r>
      <w:r>
        <w:rPr>
          <w:rFonts w:hint="cs"/>
          <w:rtl/>
        </w:rPr>
        <w:t xml:space="preserve">באופן זה </w:t>
      </w:r>
      <w:r w:rsidRPr="00D152D7">
        <w:rPr>
          <w:rtl/>
        </w:rPr>
        <w:t xml:space="preserve">הנכה יוכל להשתמש בחניות המיועדות לאנשים במצבו גם </w:t>
      </w:r>
      <w:r>
        <w:rPr>
          <w:rFonts w:hint="cs"/>
          <w:rtl/>
        </w:rPr>
        <w:t xml:space="preserve">לא מדובר ברכבו הפרטי, </w:t>
      </w:r>
      <w:r w:rsidRPr="00D152D7">
        <w:rPr>
          <w:rtl/>
        </w:rPr>
        <w:t xml:space="preserve">כאשר אחד מקרוביו מסיע אותו ליעדו. החוק הנוכחי אינו מתאים עוד </w:t>
      </w:r>
      <w:r>
        <w:rPr>
          <w:rFonts w:hint="cs"/>
          <w:rtl/>
        </w:rPr>
        <w:t>למציאות הקיימת</w:t>
      </w:r>
      <w:r w:rsidRPr="00D152D7">
        <w:rPr>
          <w:rtl/>
        </w:rPr>
        <w:t>. התיקון</w:t>
      </w:r>
      <w:r>
        <w:rPr>
          <w:rFonts w:hint="cs"/>
          <w:rtl/>
        </w:rPr>
        <w:t xml:space="preserve"> האמור</w:t>
      </w:r>
      <w:r w:rsidRPr="00D152D7">
        <w:rPr>
          <w:rtl/>
        </w:rPr>
        <w:t xml:space="preserve"> יתאים את החוק למציאות</w:t>
      </w:r>
      <w:r>
        <w:rPr>
          <w:rFonts w:hint="cs"/>
          <w:rtl/>
        </w:rPr>
        <w:t>,</w:t>
      </w:r>
      <w:r w:rsidRPr="00D152D7">
        <w:rPr>
          <w:rtl/>
        </w:rPr>
        <w:t xml:space="preserve"> </w:t>
      </w:r>
      <w:r>
        <w:rPr>
          <w:rFonts w:hint="cs"/>
          <w:rtl/>
        </w:rPr>
        <w:t>שבה</w:t>
      </w:r>
      <w:r w:rsidRPr="00D152D7">
        <w:rPr>
          <w:rtl/>
        </w:rPr>
        <w:t xml:space="preserve"> רכב הוא נכס זמין יותר והחלפתו </w:t>
      </w:r>
      <w:r>
        <w:rPr>
          <w:rFonts w:hint="cs"/>
          <w:rtl/>
        </w:rPr>
        <w:t>תכופה</w:t>
      </w:r>
      <w:r w:rsidRPr="00D152D7">
        <w:rPr>
          <w:rtl/>
        </w:rPr>
        <w:t xml:space="preserve"> יותר מבעבר. נוסף</w:t>
      </w:r>
      <w:r>
        <w:rPr>
          <w:rFonts w:hint="cs"/>
          <w:rtl/>
        </w:rPr>
        <w:t xml:space="preserve"> על כך</w:t>
      </w:r>
      <w:r w:rsidRPr="00D152D7">
        <w:rPr>
          <w:rtl/>
        </w:rPr>
        <w:t xml:space="preserve">, התיקון האמור, מלבד ההקלה שיביא לאדם הנכה להתנייד, יקל באופן משמעותי על הבירוקרטיה הכרוכה בהוצאת האישור. התג יינתן לאדם </w:t>
      </w:r>
      <w:r>
        <w:rPr>
          <w:rFonts w:hint="cs"/>
          <w:rtl/>
        </w:rPr>
        <w:t>נכה באופן אישי, ו</w:t>
      </w:r>
      <w:r w:rsidRPr="00D152D7">
        <w:rPr>
          <w:rtl/>
        </w:rPr>
        <w:t xml:space="preserve">לא יהיה עוד צורך בשינויי מספרי הרכבים המורשים בכל פעם שהנכה יזדקק לכך. </w:t>
      </w:r>
    </w:p>
    <w:p w14:paraId="76357A5B" w14:textId="77777777" w:rsidR="00073C8E" w:rsidRDefault="00073C8E" w:rsidP="00073C8E">
      <w:pPr>
        <w:pStyle w:val="Hesber"/>
        <w:rPr>
          <w:rtl/>
        </w:rPr>
      </w:pPr>
      <w:r>
        <w:rPr>
          <w:rFonts w:hint="cs"/>
          <w:rtl/>
        </w:rPr>
        <w:t xml:space="preserve">בנוסף, הצעת החוק תצמצם את מספרי תווי החנייה הקיימים לנכים בחצי. ישנם אמצעי זיהוי אישיים שניתנים להפעלה על ידי האדם עם המוגבלות עצמו, ולפי החלטת השר ניתן לקבוע תג נכה אישי בו נעשה שימוש באמצעים ביומטריים או בכל אמצעי אחר שיאפשר את הפעלת התג רק על ידי האדם עם המוגבלות כאשר הוא מוסע או נוהג ברכבו. התיקון האמור יאפשר הגינות רבה בנוגע להתניידותם  של אנשים בעלי צרכים מיוחדים ואנשים המוגבלים בניידות, והעוול הנגרם להם היום יימנע. </w:t>
      </w:r>
    </w:p>
    <w:p w14:paraId="7CA3DBA2" w14:textId="723BFB71" w:rsidR="00073C8E" w:rsidRDefault="00073C8E" w:rsidP="00C538B4">
      <w:pPr>
        <w:pStyle w:val="Hesber"/>
        <w:rPr>
          <w:rtl/>
        </w:rPr>
      </w:pPr>
      <w:r w:rsidRPr="00D152D7">
        <w:rPr>
          <w:rFonts w:hint="cs"/>
          <w:rtl/>
        </w:rPr>
        <w:t>הצע</w:t>
      </w:r>
      <w:r w:rsidR="00C538B4">
        <w:rPr>
          <w:rFonts w:hint="cs"/>
          <w:rtl/>
        </w:rPr>
        <w:t>ו</w:t>
      </w:r>
      <w:r w:rsidRPr="00D152D7">
        <w:rPr>
          <w:rFonts w:hint="cs"/>
          <w:rtl/>
        </w:rPr>
        <w:t>ת חוק זה</w:t>
      </w:r>
      <w:r w:rsidR="00C538B4">
        <w:rPr>
          <w:rFonts w:hint="cs"/>
          <w:rtl/>
        </w:rPr>
        <w:t>ות</w:t>
      </w:r>
      <w:r w:rsidRPr="00D152D7">
        <w:rPr>
          <w:rFonts w:hint="cs"/>
          <w:rtl/>
        </w:rPr>
        <w:t xml:space="preserve"> הונח</w:t>
      </w:r>
      <w:r w:rsidR="00C538B4">
        <w:rPr>
          <w:rFonts w:hint="cs"/>
          <w:rtl/>
        </w:rPr>
        <w:t>ו</w:t>
      </w:r>
      <w:r w:rsidRPr="00D152D7">
        <w:rPr>
          <w:rFonts w:hint="cs"/>
          <w:rtl/>
        </w:rPr>
        <w:t xml:space="preserve"> על שולחן הכנסת </w:t>
      </w:r>
      <w:r>
        <w:rPr>
          <w:rFonts w:hint="cs"/>
          <w:rtl/>
        </w:rPr>
        <w:t>התשע-עשרה</w:t>
      </w:r>
      <w:r w:rsidRPr="00D152D7">
        <w:rPr>
          <w:rFonts w:hint="cs"/>
          <w:rtl/>
        </w:rPr>
        <w:t xml:space="preserve"> </w:t>
      </w:r>
      <w:r>
        <w:rPr>
          <w:rFonts w:hint="cs"/>
          <w:rtl/>
        </w:rPr>
        <w:t xml:space="preserve">ועל שולחן הכנסת העשרים </w:t>
      </w:r>
      <w:r w:rsidRPr="00D152D7">
        <w:rPr>
          <w:rFonts w:hint="cs"/>
          <w:rtl/>
        </w:rPr>
        <w:t xml:space="preserve">על ידי </w:t>
      </w:r>
      <w:r>
        <w:rPr>
          <w:rFonts w:hint="cs"/>
          <w:rtl/>
        </w:rPr>
        <w:t>חבר הכנסת</w:t>
      </w:r>
      <w:r w:rsidRPr="00D152D7">
        <w:rPr>
          <w:rFonts w:hint="cs"/>
          <w:rtl/>
        </w:rPr>
        <w:t xml:space="preserve"> אילן גילאון וקבוצת חברי הכנסת (פ/2372/19</w:t>
      </w:r>
      <w:r>
        <w:t xml:space="preserve"> ;</w:t>
      </w:r>
      <w:r>
        <w:rPr>
          <w:rFonts w:hint="cs"/>
          <w:rtl/>
        </w:rPr>
        <w:t>פ/1803/20</w:t>
      </w:r>
      <w:r w:rsidRPr="00D152D7">
        <w:rPr>
          <w:rFonts w:hint="cs"/>
          <w:rtl/>
        </w:rPr>
        <w:t>).</w:t>
      </w:r>
    </w:p>
    <w:p w14:paraId="02618E1F" w14:textId="5C3094D6" w:rsidR="00C11ECD" w:rsidRDefault="00C11ECD" w:rsidP="00C538B4">
      <w:pPr>
        <w:pStyle w:val="Hesber"/>
        <w:rPr>
          <w:rtl/>
        </w:rPr>
      </w:pPr>
    </w:p>
    <w:p w14:paraId="0238E833" w14:textId="77777777" w:rsidR="00C11ECD" w:rsidRDefault="00C11ECD" w:rsidP="00C538B4">
      <w:pPr>
        <w:pStyle w:val="Hesber"/>
        <w:rPr>
          <w:rtl/>
        </w:rPr>
      </w:pPr>
    </w:p>
    <w:p w14:paraId="4F8C2976" w14:textId="77777777" w:rsidR="00C11ECD" w:rsidRPr="00D73212" w:rsidRDefault="00C11ECD" w:rsidP="00C11ECD">
      <w:pPr>
        <w:pStyle w:val="Hesber"/>
        <w:rPr>
          <w:color w:val="auto"/>
          <w:rtl/>
          <w:lang w:eastAsia="en-US"/>
        </w:rPr>
      </w:pPr>
      <w:r w:rsidRPr="00D73212">
        <w:rPr>
          <w:color w:val="auto"/>
          <w:rtl/>
          <w:lang w:eastAsia="en-US"/>
        </w:rPr>
        <w:t>---------------------------------</w:t>
      </w:r>
    </w:p>
    <w:p w14:paraId="4F1F780C" w14:textId="77777777" w:rsidR="00C11ECD" w:rsidRPr="00D73212" w:rsidRDefault="00C11ECD" w:rsidP="00C11ECD">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054D3895" w14:textId="77777777" w:rsidR="00C11ECD" w:rsidRPr="00D73212" w:rsidRDefault="00C11ECD" w:rsidP="00C11ECD">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6FDAF8F7" w14:textId="7E8065E5" w:rsidR="00C11ECD" w:rsidRDefault="00C11ECD" w:rsidP="00C11ECD">
      <w:pPr>
        <w:pStyle w:val="Hesber"/>
        <w:rPr>
          <w:rtl/>
        </w:rPr>
      </w:pPr>
      <w:r>
        <w:rPr>
          <w:rFonts w:hint="cs"/>
          <w:color w:val="auto"/>
          <w:rtl/>
          <w:lang w:eastAsia="en-US"/>
        </w:rPr>
        <w:t>כ"ב באייר</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 xml:space="preserve">ט </w:t>
      </w:r>
      <w:r w:rsidRPr="00D73212">
        <w:rPr>
          <w:color w:val="auto"/>
          <w:rtl/>
          <w:lang w:eastAsia="en-US"/>
        </w:rPr>
        <w:t>–</w:t>
      </w:r>
      <w:r>
        <w:rPr>
          <w:rFonts w:hint="cs"/>
          <w:color w:val="auto"/>
          <w:rtl/>
          <w:lang w:eastAsia="en-US"/>
        </w:rPr>
        <w:t xml:space="preserve"> 27.5</w:t>
      </w:r>
      <w:r w:rsidRPr="00D73212">
        <w:rPr>
          <w:color w:val="auto"/>
          <w:rtl/>
          <w:lang w:eastAsia="en-US"/>
        </w:rPr>
        <w:t>.</w:t>
      </w:r>
      <w:r>
        <w:rPr>
          <w:rFonts w:hint="cs"/>
          <w:color w:val="auto"/>
          <w:rtl/>
          <w:lang w:eastAsia="en-US"/>
        </w:rPr>
        <w:t xml:space="preserve">19  </w:t>
      </w:r>
      <w:bookmarkStart w:id="8" w:name="_GoBack"/>
      <w:bookmarkEnd w:id="8"/>
    </w:p>
    <w:p w14:paraId="7F6961CB" w14:textId="77777777" w:rsidR="00E13C27" w:rsidRDefault="00E13C27" w:rsidP="00E13C27">
      <w:pPr>
        <w:pStyle w:val="Hesber"/>
        <w:rPr>
          <w:rtl/>
        </w:rPr>
      </w:pPr>
    </w:p>
    <w:sectPr w:rsidR="00E13C27"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C11ECD">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4F095005" w14:textId="77777777" w:rsidR="00073C8E" w:rsidRDefault="00073C8E" w:rsidP="00073C8E">
      <w:pPr>
        <w:pStyle w:val="a4"/>
        <w:rPr>
          <w:rtl/>
        </w:rPr>
      </w:pPr>
      <w:r>
        <w:rPr>
          <w:rStyle w:val="a5"/>
        </w:rPr>
        <w:footnoteRef/>
      </w:r>
      <w:r>
        <w:rPr>
          <w:rtl/>
        </w:rPr>
        <w:t xml:space="preserve"> </w:t>
      </w:r>
      <w:r>
        <w:rPr>
          <w:rFonts w:hint="cs"/>
          <w:rtl/>
        </w:rPr>
        <w:t>ס"ח התשנ"ד, עמ' 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3C8E"/>
    <w:rsid w:val="0007681A"/>
    <w:rsid w:val="000A542E"/>
    <w:rsid w:val="00102B6B"/>
    <w:rsid w:val="001052D4"/>
    <w:rsid w:val="0010644B"/>
    <w:rsid w:val="001207F8"/>
    <w:rsid w:val="00121924"/>
    <w:rsid w:val="001279A8"/>
    <w:rsid w:val="0014195F"/>
    <w:rsid w:val="001512EC"/>
    <w:rsid w:val="00152609"/>
    <w:rsid w:val="00153E1B"/>
    <w:rsid w:val="001A0623"/>
    <w:rsid w:val="001C23B0"/>
    <w:rsid w:val="001C3AC3"/>
    <w:rsid w:val="001D7AAF"/>
    <w:rsid w:val="001F44F6"/>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77F41"/>
    <w:rsid w:val="006818A9"/>
    <w:rsid w:val="006A2D81"/>
    <w:rsid w:val="006C1D0D"/>
    <w:rsid w:val="0070601E"/>
    <w:rsid w:val="00712C72"/>
    <w:rsid w:val="00735FE9"/>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11ECD"/>
    <w:rsid w:val="00C23B1A"/>
    <w:rsid w:val="00C310EB"/>
    <w:rsid w:val="00C538B4"/>
    <w:rsid w:val="00C9176A"/>
    <w:rsid w:val="00CD5947"/>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A2FC7AB1-0294-4392-8DE2-8A20C0BE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97467741CB98040970A6DBBC195775F" ma:contentTypeVersion="" ma:contentTypeDescription="צור מסמך חדש." ma:contentTypeScope="" ma:versionID="6e55fc6acbead604c2f45a2c1dd20751">
  <xsd:schema xmlns:xsd="http://www.w3.org/2001/XMLSchema" xmlns:xs="http://www.w3.org/2001/XMLSchema" xmlns:p="http://schemas.microsoft.com/office/2006/metadata/properties" targetNamespace="http://schemas.microsoft.com/office/2006/metadata/properties" ma:root="true" ma:fieldsID="095a2728251a2ce93c0626b1f2c5b5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DB784F9-7A8C-4CF9-A000-14520EB0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48542FD-9DB5-4653-8C25-64F8ABEDF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533</Words>
  <Characters>3041</Characters>
  <Application>Microsoft Office Word</Application>
  <DocSecurity>0</DocSecurity>
  <Lines>25</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חנה קרליץ</cp:lastModifiedBy>
  <cp:revision>10</cp:revision>
  <cp:lastPrinted>2019-05-21T08:18:00Z</cp:lastPrinted>
  <dcterms:created xsi:type="dcterms:W3CDTF">2015-04-20T09:58:00Z</dcterms:created>
  <dcterms:modified xsi:type="dcterms:W3CDTF">2019-05-21T08:19:00Z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0x010100697467741CB98040970A6DBBC195775F</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2078859</vt:r8>
  </property>
</Properties>
</file>