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2079132</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ואחת</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מאיר כהן</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פ/160/21</w:t>
      </w:r>
      <w:bookmarkEnd w:id="6"/>
    </w:p>
    <w:p w14:paraId="7F6961AC" w14:textId="77777777" w:rsidR="00E13C27" w:rsidRDefault="00E13C27" w:rsidP="00E13C27">
      <w:pPr>
        <w:spacing w:before="0" w:line="360" w:lineRule="auto"/>
        <w:ind w:left="2880" w:firstLine="720"/>
        <w:rPr>
          <w:rFonts w:cs="David"/>
          <w:sz w:val="26"/>
          <w:szCs w:val="26"/>
          <w:rtl/>
        </w:rPr>
      </w:pPr>
    </w:p>
    <w:p w14:paraId="7C0D99D0" w14:textId="5A541990" w:rsidR="003A607B" w:rsidRPr="00F67051" w:rsidRDefault="00A443CF" w:rsidP="00FD2FAC">
      <w:pPr>
        <w:pStyle w:val="HeadHatzaotHok"/>
        <w:rPr>
          <w:rtl/>
        </w:rPr>
      </w:pPr>
      <w:bookmarkStart w:id="7" w:name="LGS_Subject"/>
      <w:r>
        <w:rPr>
          <w:rFonts w:hint="cs"/>
          <w:rtl/>
        </w:rPr>
        <w:t>הצעת חוק הרשות לוועדות ערר רפואיות, התשע"ט–2019</w:t>
      </w:r>
      <w:bookmarkEnd w:id="7"/>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3"/>
      </w:tblGrid>
      <w:tr w:rsidR="003A607B" w:rsidRPr="00377F9F" w14:paraId="13EA8EE9" w14:textId="77777777" w:rsidTr="007C0128">
        <w:trPr>
          <w:cantSplit/>
        </w:trPr>
        <w:tc>
          <w:tcPr>
            <w:tcW w:w="1871" w:type="dxa"/>
          </w:tcPr>
          <w:p w14:paraId="65A840EA" w14:textId="77777777" w:rsidR="003A607B" w:rsidRPr="00377F9F" w:rsidRDefault="003A607B" w:rsidP="007C0128">
            <w:pPr>
              <w:pStyle w:val="TableSideHeading"/>
              <w:keepLines w:val="0"/>
            </w:pPr>
          </w:p>
        </w:tc>
        <w:tc>
          <w:tcPr>
            <w:tcW w:w="624" w:type="dxa"/>
          </w:tcPr>
          <w:p w14:paraId="02CF41B4" w14:textId="77777777" w:rsidR="003A607B" w:rsidRPr="00377F9F" w:rsidRDefault="003A607B" w:rsidP="007C0128">
            <w:pPr>
              <w:pStyle w:val="TableText"/>
              <w:keepLines w:val="0"/>
            </w:pPr>
          </w:p>
        </w:tc>
        <w:tc>
          <w:tcPr>
            <w:tcW w:w="7143" w:type="dxa"/>
          </w:tcPr>
          <w:p w14:paraId="6418510F" w14:textId="77777777" w:rsidR="003A607B" w:rsidRPr="00377F9F" w:rsidRDefault="003A607B" w:rsidP="007C0128">
            <w:pPr>
              <w:pStyle w:val="TableHead"/>
            </w:pPr>
            <w:r w:rsidRPr="00377F9F">
              <w:rPr>
                <w:rtl/>
              </w:rPr>
              <w:t>פרק א': מטרת החוק והגדרות</w:t>
            </w:r>
          </w:p>
        </w:tc>
      </w:tr>
      <w:tr w:rsidR="003A607B" w:rsidRPr="00377F9F" w14:paraId="0BD8A4CD" w14:textId="77777777" w:rsidTr="007C0128">
        <w:trPr>
          <w:cantSplit/>
        </w:trPr>
        <w:tc>
          <w:tcPr>
            <w:tcW w:w="1871" w:type="dxa"/>
          </w:tcPr>
          <w:p w14:paraId="28793EB0" w14:textId="77777777" w:rsidR="003A607B" w:rsidRPr="00377F9F" w:rsidRDefault="003A607B" w:rsidP="007C0128">
            <w:pPr>
              <w:pStyle w:val="TableSideHeading"/>
              <w:keepLines w:val="0"/>
            </w:pPr>
            <w:r w:rsidRPr="00377F9F">
              <w:rPr>
                <w:rtl/>
              </w:rPr>
              <w:t>מטרת החוק</w:t>
            </w:r>
          </w:p>
        </w:tc>
        <w:tc>
          <w:tcPr>
            <w:tcW w:w="624" w:type="dxa"/>
          </w:tcPr>
          <w:p w14:paraId="4E66A8B3" w14:textId="77777777" w:rsidR="003A607B" w:rsidRPr="00377F9F" w:rsidRDefault="003A607B" w:rsidP="007C0128">
            <w:pPr>
              <w:pStyle w:val="TableText"/>
              <w:keepLines w:val="0"/>
            </w:pPr>
            <w:r w:rsidRPr="00377F9F">
              <w:rPr>
                <w:rtl/>
              </w:rPr>
              <w:t>1.</w:t>
            </w:r>
          </w:p>
        </w:tc>
        <w:tc>
          <w:tcPr>
            <w:tcW w:w="7143" w:type="dxa"/>
          </w:tcPr>
          <w:p w14:paraId="5362AECC" w14:textId="77777777" w:rsidR="003A607B" w:rsidRPr="00377F9F" w:rsidRDefault="003A607B" w:rsidP="007C0128">
            <w:pPr>
              <w:pStyle w:val="TableBlock"/>
            </w:pPr>
            <w:r w:rsidRPr="00377F9F">
              <w:rPr>
                <w:rtl/>
              </w:rPr>
              <w:t>מטרת חוק זה היא הקמת רשות עצמאית אשר תפעיל, תנהל ותפקח על כלל ועדות הערר הרפואיות הפועלות מכוח חוקים שונים במדינת ישראל.</w:t>
            </w:r>
          </w:p>
        </w:tc>
      </w:tr>
      <w:tr w:rsidR="003A607B" w:rsidRPr="00377F9F" w14:paraId="7119431B" w14:textId="77777777" w:rsidTr="007C0128">
        <w:trPr>
          <w:cantSplit/>
        </w:trPr>
        <w:tc>
          <w:tcPr>
            <w:tcW w:w="1871" w:type="dxa"/>
          </w:tcPr>
          <w:p w14:paraId="1136F40A" w14:textId="77777777" w:rsidR="003A607B" w:rsidRPr="00377F9F" w:rsidRDefault="003A607B" w:rsidP="007C0128">
            <w:pPr>
              <w:pStyle w:val="TableSideHeading"/>
              <w:keepLines w:val="0"/>
            </w:pPr>
            <w:r w:rsidRPr="00377F9F">
              <w:rPr>
                <w:rtl/>
              </w:rPr>
              <w:t>הגדרות</w:t>
            </w:r>
          </w:p>
        </w:tc>
        <w:tc>
          <w:tcPr>
            <w:tcW w:w="624" w:type="dxa"/>
          </w:tcPr>
          <w:p w14:paraId="043CD384" w14:textId="77777777" w:rsidR="003A607B" w:rsidRPr="00377F9F" w:rsidRDefault="003A607B" w:rsidP="007C0128">
            <w:pPr>
              <w:pStyle w:val="TableText"/>
              <w:keepLines w:val="0"/>
            </w:pPr>
            <w:r w:rsidRPr="00377F9F">
              <w:rPr>
                <w:rtl/>
              </w:rPr>
              <w:t>2.</w:t>
            </w:r>
          </w:p>
        </w:tc>
        <w:tc>
          <w:tcPr>
            <w:tcW w:w="7143" w:type="dxa"/>
          </w:tcPr>
          <w:p w14:paraId="2C8B250E" w14:textId="77777777" w:rsidR="003A607B" w:rsidRPr="00377F9F" w:rsidRDefault="003A607B" w:rsidP="007C0128">
            <w:pPr>
              <w:pStyle w:val="TableBlock"/>
            </w:pPr>
            <w:r w:rsidRPr="00377F9F">
              <w:rPr>
                <w:rtl/>
              </w:rPr>
              <w:t xml:space="preserve">בחוק זה – </w:t>
            </w:r>
          </w:p>
        </w:tc>
      </w:tr>
      <w:tr w:rsidR="003A607B" w:rsidRPr="00377F9F" w14:paraId="0235A271" w14:textId="77777777" w:rsidTr="007C0128">
        <w:trPr>
          <w:cantSplit/>
        </w:trPr>
        <w:tc>
          <w:tcPr>
            <w:tcW w:w="1871" w:type="dxa"/>
          </w:tcPr>
          <w:p w14:paraId="71304569" w14:textId="77777777" w:rsidR="003A607B" w:rsidRPr="00377F9F" w:rsidRDefault="003A607B" w:rsidP="007C0128">
            <w:pPr>
              <w:pStyle w:val="TableSideHeading"/>
              <w:keepLines w:val="0"/>
            </w:pPr>
          </w:p>
        </w:tc>
        <w:tc>
          <w:tcPr>
            <w:tcW w:w="624" w:type="dxa"/>
          </w:tcPr>
          <w:p w14:paraId="63E3CED8" w14:textId="77777777" w:rsidR="003A607B" w:rsidRPr="00377F9F" w:rsidRDefault="003A607B" w:rsidP="007C0128">
            <w:pPr>
              <w:pStyle w:val="TableText"/>
              <w:rPr>
                <w:rtl/>
              </w:rPr>
            </w:pPr>
          </w:p>
        </w:tc>
        <w:tc>
          <w:tcPr>
            <w:tcW w:w="7143" w:type="dxa"/>
          </w:tcPr>
          <w:p w14:paraId="35831E7E" w14:textId="77777777" w:rsidR="003A607B" w:rsidRPr="00377F9F" w:rsidRDefault="003A607B" w:rsidP="007C0128">
            <w:pPr>
              <w:pStyle w:val="TableBlockOutdent"/>
              <w:rPr>
                <w:rtl/>
              </w:rPr>
            </w:pPr>
            <w:r w:rsidRPr="00377F9F">
              <w:rPr>
                <w:rtl/>
              </w:rPr>
              <w:t>"בית הדין לעבודה" – בית דין אזורי לעבודה כמשמעותו בחוק בית הדין לעבודה, התשכ"ט–1969</w:t>
            </w:r>
            <w:r w:rsidRPr="00377F9F">
              <w:rPr>
                <w:vertAlign w:val="superscript"/>
                <w:rtl/>
              </w:rPr>
              <w:footnoteReference w:id="2"/>
            </w:r>
            <w:r w:rsidRPr="00377F9F">
              <w:rPr>
                <w:rtl/>
              </w:rPr>
              <w:t>;</w:t>
            </w:r>
          </w:p>
        </w:tc>
      </w:tr>
      <w:tr w:rsidR="003A607B" w:rsidRPr="00377F9F" w14:paraId="089F243C" w14:textId="77777777" w:rsidTr="007C0128">
        <w:trPr>
          <w:cantSplit/>
        </w:trPr>
        <w:tc>
          <w:tcPr>
            <w:tcW w:w="1871" w:type="dxa"/>
          </w:tcPr>
          <w:p w14:paraId="5EA57448" w14:textId="77777777" w:rsidR="003A607B" w:rsidRPr="00377F9F" w:rsidRDefault="003A607B" w:rsidP="007C0128">
            <w:pPr>
              <w:pStyle w:val="TableSideHeading"/>
              <w:keepLines w:val="0"/>
            </w:pPr>
          </w:p>
        </w:tc>
        <w:tc>
          <w:tcPr>
            <w:tcW w:w="624" w:type="dxa"/>
          </w:tcPr>
          <w:p w14:paraId="0C6AE6F2" w14:textId="77777777" w:rsidR="003A607B" w:rsidRPr="00377F9F" w:rsidRDefault="003A607B" w:rsidP="007C0128">
            <w:pPr>
              <w:pStyle w:val="TableText"/>
              <w:rPr>
                <w:rtl/>
              </w:rPr>
            </w:pPr>
          </w:p>
        </w:tc>
        <w:tc>
          <w:tcPr>
            <w:tcW w:w="7143" w:type="dxa"/>
          </w:tcPr>
          <w:p w14:paraId="7C2A94E6" w14:textId="77777777" w:rsidR="003A607B" w:rsidRPr="00377F9F" w:rsidRDefault="003A607B" w:rsidP="007C0128">
            <w:pPr>
              <w:pStyle w:val="TableBlockOutdent"/>
              <w:rPr>
                <w:rtl/>
              </w:rPr>
            </w:pPr>
            <w:r w:rsidRPr="00377F9F">
              <w:rPr>
                <w:rtl/>
              </w:rPr>
              <w:t>"הרשות" – הרשות לוועדות ערר רפואיות המוקמת לפי חוק זה;</w:t>
            </w:r>
          </w:p>
        </w:tc>
      </w:tr>
      <w:tr w:rsidR="003A607B" w:rsidRPr="00377F9F" w14:paraId="26A34C6C" w14:textId="77777777" w:rsidTr="007C0128">
        <w:trPr>
          <w:cantSplit/>
        </w:trPr>
        <w:tc>
          <w:tcPr>
            <w:tcW w:w="1871" w:type="dxa"/>
          </w:tcPr>
          <w:p w14:paraId="5C3DBBD5" w14:textId="77777777" w:rsidR="003A607B" w:rsidRPr="00377F9F" w:rsidRDefault="003A607B" w:rsidP="007C0128">
            <w:pPr>
              <w:pStyle w:val="TableSideHeading"/>
              <w:keepLines w:val="0"/>
            </w:pPr>
          </w:p>
        </w:tc>
        <w:tc>
          <w:tcPr>
            <w:tcW w:w="624" w:type="dxa"/>
          </w:tcPr>
          <w:p w14:paraId="475BB065" w14:textId="77777777" w:rsidR="003A607B" w:rsidRPr="00377F9F" w:rsidRDefault="003A607B" w:rsidP="007C0128">
            <w:pPr>
              <w:pStyle w:val="TableText"/>
              <w:rPr>
                <w:rtl/>
              </w:rPr>
            </w:pPr>
          </w:p>
        </w:tc>
        <w:tc>
          <w:tcPr>
            <w:tcW w:w="7143" w:type="dxa"/>
          </w:tcPr>
          <w:p w14:paraId="238B009D" w14:textId="77777777" w:rsidR="003A607B" w:rsidRPr="00377F9F" w:rsidRDefault="003A607B" w:rsidP="007C0128">
            <w:pPr>
              <w:pStyle w:val="TableBlockOutdent"/>
              <w:rPr>
                <w:rtl/>
              </w:rPr>
            </w:pPr>
            <w:r w:rsidRPr="00377F9F">
              <w:rPr>
                <w:rtl/>
              </w:rPr>
              <w:t>"ראש הרשות" – ראש הרשות הממונה לפי סעיף 10;</w:t>
            </w:r>
          </w:p>
        </w:tc>
      </w:tr>
      <w:tr w:rsidR="003A607B" w:rsidRPr="00377F9F" w14:paraId="622AD9D6" w14:textId="77777777" w:rsidTr="007C0128">
        <w:trPr>
          <w:cantSplit/>
        </w:trPr>
        <w:tc>
          <w:tcPr>
            <w:tcW w:w="1871" w:type="dxa"/>
          </w:tcPr>
          <w:p w14:paraId="61B7865A" w14:textId="77777777" w:rsidR="003A607B" w:rsidRPr="00377F9F" w:rsidRDefault="003A607B" w:rsidP="007C0128">
            <w:pPr>
              <w:pStyle w:val="TableSideHeading"/>
              <w:keepLines w:val="0"/>
            </w:pPr>
          </w:p>
        </w:tc>
        <w:tc>
          <w:tcPr>
            <w:tcW w:w="624" w:type="dxa"/>
          </w:tcPr>
          <w:p w14:paraId="58AA1099" w14:textId="77777777" w:rsidR="003A607B" w:rsidRPr="00377F9F" w:rsidRDefault="003A607B" w:rsidP="007C0128">
            <w:pPr>
              <w:pStyle w:val="TableText"/>
              <w:rPr>
                <w:rtl/>
              </w:rPr>
            </w:pPr>
          </w:p>
        </w:tc>
        <w:tc>
          <w:tcPr>
            <w:tcW w:w="7143" w:type="dxa"/>
          </w:tcPr>
          <w:p w14:paraId="0F4B98A0" w14:textId="77777777" w:rsidR="003A607B" w:rsidRPr="00377F9F" w:rsidRDefault="003A607B" w:rsidP="007C0128">
            <w:pPr>
              <w:pStyle w:val="TableBlockOutdent"/>
              <w:rPr>
                <w:rtl/>
              </w:rPr>
            </w:pPr>
            <w:r w:rsidRPr="00377F9F">
              <w:rPr>
                <w:rtl/>
              </w:rPr>
              <w:t>"רופא הרשות" – רופא הרשות הממונה לפי סעיף 13;</w:t>
            </w:r>
          </w:p>
        </w:tc>
      </w:tr>
      <w:tr w:rsidR="003A607B" w:rsidRPr="00377F9F" w14:paraId="6756A27D" w14:textId="77777777" w:rsidTr="007C0128">
        <w:trPr>
          <w:cantSplit/>
        </w:trPr>
        <w:tc>
          <w:tcPr>
            <w:tcW w:w="1871" w:type="dxa"/>
          </w:tcPr>
          <w:p w14:paraId="20F3CAEC" w14:textId="77777777" w:rsidR="003A607B" w:rsidRPr="00377F9F" w:rsidRDefault="003A607B" w:rsidP="007C0128">
            <w:pPr>
              <w:pStyle w:val="TableSideHeading"/>
              <w:keepLines w:val="0"/>
            </w:pPr>
          </w:p>
        </w:tc>
        <w:tc>
          <w:tcPr>
            <w:tcW w:w="624" w:type="dxa"/>
          </w:tcPr>
          <w:p w14:paraId="43BC93F4" w14:textId="77777777" w:rsidR="003A607B" w:rsidRPr="00377F9F" w:rsidRDefault="003A607B" w:rsidP="007C0128">
            <w:pPr>
              <w:pStyle w:val="TableText"/>
              <w:rPr>
                <w:rtl/>
              </w:rPr>
            </w:pPr>
          </w:p>
        </w:tc>
        <w:tc>
          <w:tcPr>
            <w:tcW w:w="7143" w:type="dxa"/>
          </w:tcPr>
          <w:p w14:paraId="3484D7C6" w14:textId="77777777" w:rsidR="003A607B" w:rsidRPr="00377F9F" w:rsidRDefault="003A607B" w:rsidP="007C0128">
            <w:pPr>
              <w:pStyle w:val="TableBlockOutdent"/>
              <w:rPr>
                <w:rtl/>
              </w:rPr>
            </w:pPr>
            <w:r w:rsidRPr="00377F9F">
              <w:rPr>
                <w:rtl/>
              </w:rPr>
              <w:t>"השר" – שר הבריאות.</w:t>
            </w:r>
          </w:p>
        </w:tc>
      </w:tr>
      <w:tr w:rsidR="003A607B" w:rsidRPr="00377F9F" w14:paraId="64503784" w14:textId="77777777" w:rsidTr="007C0128">
        <w:trPr>
          <w:cantSplit/>
        </w:trPr>
        <w:tc>
          <w:tcPr>
            <w:tcW w:w="1871" w:type="dxa"/>
          </w:tcPr>
          <w:p w14:paraId="01A49445" w14:textId="77777777" w:rsidR="003A607B" w:rsidRPr="00377F9F" w:rsidRDefault="003A607B" w:rsidP="007C0128">
            <w:pPr>
              <w:pStyle w:val="TableSideHeading"/>
            </w:pPr>
          </w:p>
        </w:tc>
        <w:tc>
          <w:tcPr>
            <w:tcW w:w="624" w:type="dxa"/>
          </w:tcPr>
          <w:p w14:paraId="21D8BC09" w14:textId="77777777" w:rsidR="003A607B" w:rsidRPr="00377F9F" w:rsidRDefault="003A607B" w:rsidP="007C0128">
            <w:pPr>
              <w:pStyle w:val="TableText"/>
            </w:pPr>
          </w:p>
        </w:tc>
        <w:tc>
          <w:tcPr>
            <w:tcW w:w="7143" w:type="dxa"/>
          </w:tcPr>
          <w:p w14:paraId="12B27C1E" w14:textId="77777777" w:rsidR="003A607B" w:rsidRPr="00377F9F" w:rsidRDefault="003A607B" w:rsidP="007C0128">
            <w:pPr>
              <w:pStyle w:val="TableHead"/>
            </w:pPr>
            <w:r w:rsidRPr="00377F9F">
              <w:rPr>
                <w:rtl/>
              </w:rPr>
              <w:t>פרק ב': הרשות</w:t>
            </w:r>
          </w:p>
        </w:tc>
      </w:tr>
      <w:tr w:rsidR="003A607B" w:rsidRPr="00377F9F" w14:paraId="239BD580" w14:textId="77777777" w:rsidTr="007C0128">
        <w:trPr>
          <w:cantSplit/>
        </w:trPr>
        <w:tc>
          <w:tcPr>
            <w:tcW w:w="1871" w:type="dxa"/>
          </w:tcPr>
          <w:p w14:paraId="746EB661" w14:textId="77777777" w:rsidR="003A607B" w:rsidRPr="00377F9F" w:rsidRDefault="003A607B" w:rsidP="007C0128">
            <w:pPr>
              <w:pStyle w:val="TableSideHeading"/>
              <w:keepLines w:val="0"/>
            </w:pPr>
            <w:r w:rsidRPr="00377F9F">
              <w:rPr>
                <w:rtl/>
              </w:rPr>
              <w:t>כינון הרשות</w:t>
            </w:r>
          </w:p>
        </w:tc>
        <w:tc>
          <w:tcPr>
            <w:tcW w:w="624" w:type="dxa"/>
          </w:tcPr>
          <w:p w14:paraId="56578D4A" w14:textId="77777777" w:rsidR="003A607B" w:rsidRPr="00377F9F" w:rsidRDefault="003A607B" w:rsidP="007C0128">
            <w:pPr>
              <w:pStyle w:val="TableText"/>
              <w:keepLines w:val="0"/>
            </w:pPr>
            <w:r w:rsidRPr="00377F9F">
              <w:rPr>
                <w:rtl/>
              </w:rPr>
              <w:t>3.</w:t>
            </w:r>
          </w:p>
        </w:tc>
        <w:tc>
          <w:tcPr>
            <w:tcW w:w="7143" w:type="dxa"/>
          </w:tcPr>
          <w:p w14:paraId="77D43901" w14:textId="77777777" w:rsidR="003A607B" w:rsidRPr="00377F9F" w:rsidRDefault="003A607B" w:rsidP="007C0128">
            <w:pPr>
              <w:pStyle w:val="TableBlock"/>
            </w:pPr>
            <w:r w:rsidRPr="00377F9F">
              <w:rPr>
                <w:rtl/>
              </w:rPr>
              <w:t>מוקמת בזה רשות לוועדות ערר רפואיות.</w:t>
            </w:r>
          </w:p>
        </w:tc>
      </w:tr>
      <w:tr w:rsidR="003A607B" w:rsidRPr="00377F9F" w14:paraId="283E6298" w14:textId="77777777" w:rsidTr="007C0128">
        <w:trPr>
          <w:cantSplit/>
        </w:trPr>
        <w:tc>
          <w:tcPr>
            <w:tcW w:w="1871" w:type="dxa"/>
          </w:tcPr>
          <w:p w14:paraId="2C5A45F9" w14:textId="77777777" w:rsidR="003A607B" w:rsidRPr="00377F9F" w:rsidRDefault="003A607B" w:rsidP="007C0128">
            <w:pPr>
              <w:pStyle w:val="TableSideHeading"/>
              <w:keepLines w:val="0"/>
            </w:pPr>
            <w:r w:rsidRPr="00377F9F">
              <w:rPr>
                <w:rtl/>
              </w:rPr>
              <w:t>הרשות – תאגיד</w:t>
            </w:r>
          </w:p>
        </w:tc>
        <w:tc>
          <w:tcPr>
            <w:tcW w:w="624" w:type="dxa"/>
          </w:tcPr>
          <w:p w14:paraId="1E3B3D52" w14:textId="77777777" w:rsidR="003A607B" w:rsidRPr="00377F9F" w:rsidRDefault="003A607B" w:rsidP="007C0128">
            <w:pPr>
              <w:pStyle w:val="TableText"/>
              <w:keepLines w:val="0"/>
            </w:pPr>
            <w:r w:rsidRPr="00377F9F">
              <w:rPr>
                <w:rtl/>
              </w:rPr>
              <w:t>4.</w:t>
            </w:r>
          </w:p>
        </w:tc>
        <w:tc>
          <w:tcPr>
            <w:tcW w:w="7143" w:type="dxa"/>
          </w:tcPr>
          <w:p w14:paraId="61AC40CA" w14:textId="77777777" w:rsidR="003A607B" w:rsidRPr="00377F9F" w:rsidRDefault="003A607B" w:rsidP="007C0128">
            <w:pPr>
              <w:pStyle w:val="TableBlock"/>
            </w:pPr>
            <w:r w:rsidRPr="00377F9F">
              <w:rPr>
                <w:rtl/>
              </w:rPr>
              <w:t>הרשות היא תאגיד כשר לכל פעולה משפטית.</w:t>
            </w:r>
          </w:p>
        </w:tc>
      </w:tr>
      <w:tr w:rsidR="003A607B" w:rsidRPr="00377F9F" w14:paraId="197B9695" w14:textId="77777777" w:rsidTr="007C0128">
        <w:trPr>
          <w:cantSplit/>
        </w:trPr>
        <w:tc>
          <w:tcPr>
            <w:tcW w:w="1871" w:type="dxa"/>
          </w:tcPr>
          <w:p w14:paraId="7C59398E" w14:textId="77777777" w:rsidR="003A607B" w:rsidRPr="00377F9F" w:rsidRDefault="003A607B" w:rsidP="007C0128">
            <w:pPr>
              <w:pStyle w:val="TableSideHeading"/>
              <w:keepLines w:val="0"/>
            </w:pPr>
            <w:r w:rsidRPr="00377F9F">
              <w:rPr>
                <w:rtl/>
              </w:rPr>
              <w:t>פיקוח</w:t>
            </w:r>
          </w:p>
        </w:tc>
        <w:tc>
          <w:tcPr>
            <w:tcW w:w="624" w:type="dxa"/>
          </w:tcPr>
          <w:p w14:paraId="060202B6" w14:textId="77777777" w:rsidR="003A607B" w:rsidRPr="00377F9F" w:rsidRDefault="003A607B" w:rsidP="007C0128">
            <w:pPr>
              <w:pStyle w:val="TableText"/>
              <w:keepLines w:val="0"/>
            </w:pPr>
            <w:r w:rsidRPr="00377F9F">
              <w:rPr>
                <w:rtl/>
              </w:rPr>
              <w:t>5.</w:t>
            </w:r>
          </w:p>
        </w:tc>
        <w:tc>
          <w:tcPr>
            <w:tcW w:w="7143" w:type="dxa"/>
          </w:tcPr>
          <w:p w14:paraId="162EB8FE" w14:textId="77777777" w:rsidR="003A607B" w:rsidRPr="00377F9F" w:rsidRDefault="003A607B" w:rsidP="007C0128">
            <w:pPr>
              <w:pStyle w:val="TableBlock"/>
            </w:pPr>
            <w:r w:rsidRPr="00377F9F">
              <w:rPr>
                <w:rtl/>
              </w:rPr>
              <w:t>הרשות כפופה לפיקוחו של השר.</w:t>
            </w:r>
          </w:p>
        </w:tc>
      </w:tr>
      <w:tr w:rsidR="003A607B" w:rsidRPr="00377F9F" w14:paraId="388EA9FD" w14:textId="77777777" w:rsidTr="007C0128">
        <w:trPr>
          <w:cantSplit/>
        </w:trPr>
        <w:tc>
          <w:tcPr>
            <w:tcW w:w="1871" w:type="dxa"/>
          </w:tcPr>
          <w:p w14:paraId="354C8F59" w14:textId="77777777" w:rsidR="003A607B" w:rsidRPr="00377F9F" w:rsidRDefault="003A607B" w:rsidP="007C0128">
            <w:pPr>
              <w:pStyle w:val="TableSideHeading"/>
              <w:keepLines w:val="0"/>
            </w:pPr>
            <w:r w:rsidRPr="00377F9F">
              <w:rPr>
                <w:rtl/>
              </w:rPr>
              <w:t>הרשות – גוף מבוקר</w:t>
            </w:r>
          </w:p>
        </w:tc>
        <w:tc>
          <w:tcPr>
            <w:tcW w:w="624" w:type="dxa"/>
          </w:tcPr>
          <w:p w14:paraId="55240C2B" w14:textId="77777777" w:rsidR="003A607B" w:rsidRPr="00377F9F" w:rsidRDefault="003A607B" w:rsidP="007C0128">
            <w:pPr>
              <w:pStyle w:val="TableText"/>
              <w:keepLines w:val="0"/>
            </w:pPr>
            <w:r w:rsidRPr="00377F9F">
              <w:rPr>
                <w:rtl/>
              </w:rPr>
              <w:t>6.</w:t>
            </w:r>
          </w:p>
        </w:tc>
        <w:tc>
          <w:tcPr>
            <w:tcW w:w="7143" w:type="dxa"/>
          </w:tcPr>
          <w:p w14:paraId="62F3A85C" w14:textId="77777777" w:rsidR="003A607B" w:rsidRPr="00377F9F" w:rsidRDefault="003A607B" w:rsidP="007C0128">
            <w:pPr>
              <w:pStyle w:val="TableBlock"/>
            </w:pPr>
            <w:r w:rsidRPr="00377F9F">
              <w:rPr>
                <w:rtl/>
              </w:rPr>
              <w:t>הרשות תהיה גוף מבוקר לפי סעיף 9(2) לחוק מבקר המדינה, התשי"ח–1958 [נוסח משולב]</w:t>
            </w:r>
            <w:r w:rsidRPr="00377F9F">
              <w:rPr>
                <w:rStyle w:val="a6"/>
                <w:rtl/>
              </w:rPr>
              <w:footnoteReference w:id="3"/>
            </w:r>
            <w:r w:rsidRPr="00377F9F">
              <w:rPr>
                <w:rtl/>
              </w:rPr>
              <w:t>.</w:t>
            </w:r>
          </w:p>
        </w:tc>
      </w:tr>
      <w:tr w:rsidR="003A607B" w:rsidRPr="00377F9F" w14:paraId="14E7C821" w14:textId="77777777" w:rsidTr="007C0128">
        <w:trPr>
          <w:cantSplit/>
        </w:trPr>
        <w:tc>
          <w:tcPr>
            <w:tcW w:w="1871" w:type="dxa"/>
          </w:tcPr>
          <w:p w14:paraId="541C1D36" w14:textId="77777777" w:rsidR="003A607B" w:rsidRPr="00377F9F" w:rsidRDefault="003A607B" w:rsidP="007C0128">
            <w:pPr>
              <w:pStyle w:val="TableSideHeading"/>
              <w:keepLines w:val="0"/>
            </w:pPr>
            <w:r w:rsidRPr="00377F9F">
              <w:rPr>
                <w:rtl/>
              </w:rPr>
              <w:t>תפקידי הרשות</w:t>
            </w:r>
          </w:p>
        </w:tc>
        <w:tc>
          <w:tcPr>
            <w:tcW w:w="624" w:type="dxa"/>
          </w:tcPr>
          <w:p w14:paraId="55997356" w14:textId="77777777" w:rsidR="003A607B" w:rsidRPr="00377F9F" w:rsidRDefault="003A607B" w:rsidP="007C0128">
            <w:pPr>
              <w:pStyle w:val="TableText"/>
              <w:keepLines w:val="0"/>
            </w:pPr>
            <w:r w:rsidRPr="00377F9F">
              <w:rPr>
                <w:rtl/>
              </w:rPr>
              <w:t>7.</w:t>
            </w:r>
          </w:p>
        </w:tc>
        <w:tc>
          <w:tcPr>
            <w:tcW w:w="7143" w:type="dxa"/>
          </w:tcPr>
          <w:p w14:paraId="7AEA9875" w14:textId="77777777" w:rsidR="003A607B" w:rsidRPr="00377F9F" w:rsidRDefault="003A607B" w:rsidP="007C0128">
            <w:pPr>
              <w:pStyle w:val="TableBlock"/>
            </w:pPr>
            <w:r w:rsidRPr="00377F9F">
              <w:rPr>
                <w:rtl/>
              </w:rPr>
              <w:t>תפקידי הרשות הם הפעלת כלל ועדות הערר הרפואיות ופיקוח עליהן בכל תחום ומקום בו פועלות ועדות ערר רפואיות, מכוח החוקים המפורטים בתוספת.</w:t>
            </w:r>
          </w:p>
        </w:tc>
      </w:tr>
      <w:tr w:rsidR="003A607B" w:rsidRPr="00377F9F" w14:paraId="6FFD5F67" w14:textId="77777777" w:rsidTr="007C0128">
        <w:trPr>
          <w:cantSplit/>
        </w:trPr>
        <w:tc>
          <w:tcPr>
            <w:tcW w:w="1871" w:type="dxa"/>
          </w:tcPr>
          <w:p w14:paraId="1AF544C6" w14:textId="77777777" w:rsidR="003A607B" w:rsidRPr="00377F9F" w:rsidRDefault="003A607B" w:rsidP="007C0128">
            <w:pPr>
              <w:pStyle w:val="TableSideHeading"/>
              <w:keepLines w:val="0"/>
            </w:pPr>
            <w:r w:rsidRPr="00377F9F">
              <w:rPr>
                <w:rtl/>
              </w:rPr>
              <w:lastRenderedPageBreak/>
              <w:t>פעולות הרשות</w:t>
            </w:r>
          </w:p>
        </w:tc>
        <w:tc>
          <w:tcPr>
            <w:tcW w:w="624" w:type="dxa"/>
          </w:tcPr>
          <w:p w14:paraId="4E5C2EE7" w14:textId="77777777" w:rsidR="003A607B" w:rsidRPr="00377F9F" w:rsidRDefault="003A607B" w:rsidP="007C0128">
            <w:pPr>
              <w:pStyle w:val="TableText"/>
              <w:keepLines w:val="0"/>
            </w:pPr>
            <w:r w:rsidRPr="00377F9F">
              <w:rPr>
                <w:rtl/>
              </w:rPr>
              <w:t>8.</w:t>
            </w:r>
          </w:p>
        </w:tc>
        <w:tc>
          <w:tcPr>
            <w:tcW w:w="7143" w:type="dxa"/>
          </w:tcPr>
          <w:p w14:paraId="41803EFE" w14:textId="77777777" w:rsidR="003A607B" w:rsidRPr="00377F9F" w:rsidRDefault="003A607B" w:rsidP="007C0128">
            <w:pPr>
              <w:pStyle w:val="TableBlock"/>
            </w:pPr>
            <w:r w:rsidRPr="00377F9F">
              <w:rPr>
                <w:rtl/>
              </w:rPr>
              <w:t>הרשות תפעיל ועדות ערר רפואיות ותפקח עליהם, כאמור בסעיף 7, בכל מקום בו פועלות ועדות ערר רפואיות מכוח החוקים המנויים בתוספת; השר, באישור ועדת העבודה הרווחה והבריאות של הכנסת,</w:t>
            </w:r>
            <w:r w:rsidRPr="00377F9F" w:rsidDel="00137A2F">
              <w:rPr>
                <w:rtl/>
              </w:rPr>
              <w:t xml:space="preserve"> </w:t>
            </w:r>
            <w:r w:rsidRPr="00377F9F">
              <w:rPr>
                <w:rtl/>
              </w:rPr>
              <w:t xml:space="preserve">רשאי להוסיף, בצו, חוקים נוספים לרשימת החוקים שבתוספת. </w:t>
            </w:r>
          </w:p>
        </w:tc>
      </w:tr>
      <w:tr w:rsidR="003A607B" w:rsidRPr="00377F9F" w14:paraId="78A34FFA" w14:textId="77777777" w:rsidTr="007C0128">
        <w:trPr>
          <w:cantSplit/>
        </w:trPr>
        <w:tc>
          <w:tcPr>
            <w:tcW w:w="1871" w:type="dxa"/>
          </w:tcPr>
          <w:p w14:paraId="6641D70B" w14:textId="77777777" w:rsidR="003A607B" w:rsidRPr="00377F9F" w:rsidRDefault="003A607B" w:rsidP="007C0128">
            <w:pPr>
              <w:pStyle w:val="TableSideHeading"/>
            </w:pPr>
          </w:p>
        </w:tc>
        <w:tc>
          <w:tcPr>
            <w:tcW w:w="624" w:type="dxa"/>
          </w:tcPr>
          <w:p w14:paraId="06E3BF1B" w14:textId="77777777" w:rsidR="003A607B" w:rsidRPr="00377F9F" w:rsidRDefault="003A607B" w:rsidP="007C0128">
            <w:pPr>
              <w:pStyle w:val="TableText"/>
            </w:pPr>
          </w:p>
        </w:tc>
        <w:tc>
          <w:tcPr>
            <w:tcW w:w="7143" w:type="dxa"/>
          </w:tcPr>
          <w:p w14:paraId="6A2716D1" w14:textId="77777777" w:rsidR="003A607B" w:rsidRPr="00377F9F" w:rsidRDefault="003A607B" w:rsidP="007C0128">
            <w:pPr>
              <w:pStyle w:val="TableHead"/>
            </w:pPr>
            <w:r w:rsidRPr="00377F9F">
              <w:rPr>
                <w:rtl/>
              </w:rPr>
              <w:t>פרק ג': מוסדות הרשות ועובדיה</w:t>
            </w:r>
          </w:p>
        </w:tc>
      </w:tr>
      <w:tr w:rsidR="003A607B" w:rsidRPr="00377F9F" w14:paraId="724451E6" w14:textId="77777777" w:rsidTr="007C0128">
        <w:trPr>
          <w:cantSplit/>
        </w:trPr>
        <w:tc>
          <w:tcPr>
            <w:tcW w:w="1871" w:type="dxa"/>
          </w:tcPr>
          <w:p w14:paraId="2C4013EC" w14:textId="77777777" w:rsidR="003A607B" w:rsidRPr="00377F9F" w:rsidRDefault="003A607B" w:rsidP="007C0128">
            <w:pPr>
              <w:pStyle w:val="TableSideHeading"/>
              <w:keepLines w:val="0"/>
            </w:pPr>
            <w:r w:rsidRPr="00377F9F">
              <w:rPr>
                <w:rtl/>
              </w:rPr>
              <w:t>מוסדות הרשות</w:t>
            </w:r>
          </w:p>
        </w:tc>
        <w:tc>
          <w:tcPr>
            <w:tcW w:w="624" w:type="dxa"/>
          </w:tcPr>
          <w:p w14:paraId="31490001" w14:textId="77777777" w:rsidR="003A607B" w:rsidRPr="00377F9F" w:rsidRDefault="003A607B" w:rsidP="007C0128">
            <w:pPr>
              <w:pStyle w:val="TableText"/>
              <w:keepLines w:val="0"/>
            </w:pPr>
            <w:r w:rsidRPr="00377F9F">
              <w:rPr>
                <w:rtl/>
              </w:rPr>
              <w:t>9.</w:t>
            </w:r>
          </w:p>
        </w:tc>
        <w:tc>
          <w:tcPr>
            <w:tcW w:w="7143" w:type="dxa"/>
          </w:tcPr>
          <w:p w14:paraId="5891F3D7" w14:textId="77777777" w:rsidR="003A607B" w:rsidRPr="00377F9F" w:rsidRDefault="003A607B" w:rsidP="007C0128">
            <w:pPr>
              <w:pStyle w:val="TableBlock"/>
            </w:pPr>
            <w:r w:rsidRPr="00377F9F">
              <w:rPr>
                <w:rtl/>
              </w:rPr>
              <w:t>הרשות תורכב מראש הרשות, רופא הרשות, עובדי הרשות ומועצת הרשות.</w:t>
            </w:r>
          </w:p>
        </w:tc>
      </w:tr>
      <w:tr w:rsidR="003A607B" w:rsidRPr="00377F9F" w14:paraId="421B3595" w14:textId="77777777" w:rsidTr="007C0128">
        <w:trPr>
          <w:cantSplit/>
        </w:trPr>
        <w:tc>
          <w:tcPr>
            <w:tcW w:w="1871" w:type="dxa"/>
          </w:tcPr>
          <w:p w14:paraId="4206D9BE" w14:textId="77777777" w:rsidR="003A607B" w:rsidRPr="00377F9F" w:rsidRDefault="003A607B" w:rsidP="007C0128">
            <w:pPr>
              <w:pStyle w:val="TableSideHeading"/>
              <w:keepLines w:val="0"/>
            </w:pPr>
            <w:r w:rsidRPr="00377F9F">
              <w:rPr>
                <w:rtl/>
              </w:rPr>
              <w:t>מינוי ראש הרשות</w:t>
            </w:r>
          </w:p>
        </w:tc>
        <w:tc>
          <w:tcPr>
            <w:tcW w:w="624" w:type="dxa"/>
          </w:tcPr>
          <w:p w14:paraId="1BDC2B29" w14:textId="77777777" w:rsidR="003A607B" w:rsidRPr="00377F9F" w:rsidRDefault="003A607B" w:rsidP="007C0128">
            <w:pPr>
              <w:pStyle w:val="TableText"/>
              <w:keepLines w:val="0"/>
            </w:pPr>
            <w:r w:rsidRPr="00377F9F">
              <w:rPr>
                <w:rtl/>
              </w:rPr>
              <w:t>10.</w:t>
            </w:r>
          </w:p>
        </w:tc>
        <w:tc>
          <w:tcPr>
            <w:tcW w:w="7143" w:type="dxa"/>
          </w:tcPr>
          <w:p w14:paraId="68709544" w14:textId="77777777" w:rsidR="003A607B" w:rsidRPr="00377F9F" w:rsidRDefault="003A607B" w:rsidP="007C0128">
            <w:pPr>
              <w:pStyle w:val="TableBlock"/>
            </w:pPr>
            <w:r w:rsidRPr="00377F9F">
              <w:rPr>
                <w:rtl/>
              </w:rPr>
              <w:t>הממשלה תמנה, לפי המלצת השר, את ראש הרשות; הודעה על המינוי תפורסם ברשומות.</w:t>
            </w:r>
          </w:p>
        </w:tc>
      </w:tr>
      <w:tr w:rsidR="003A607B" w:rsidRPr="00377F9F" w14:paraId="3E1883A0" w14:textId="77777777" w:rsidTr="007C0128">
        <w:trPr>
          <w:cantSplit/>
        </w:trPr>
        <w:tc>
          <w:tcPr>
            <w:tcW w:w="1871" w:type="dxa"/>
          </w:tcPr>
          <w:p w14:paraId="28E373D7" w14:textId="77777777" w:rsidR="003A607B" w:rsidRPr="00377F9F" w:rsidRDefault="003A607B" w:rsidP="007C0128">
            <w:pPr>
              <w:pStyle w:val="TableSideHeading"/>
              <w:keepLines w:val="0"/>
            </w:pPr>
            <w:r w:rsidRPr="00377F9F">
              <w:rPr>
                <w:rtl/>
              </w:rPr>
              <w:t>כישורי ראש הרשות</w:t>
            </w:r>
          </w:p>
        </w:tc>
        <w:tc>
          <w:tcPr>
            <w:tcW w:w="624" w:type="dxa"/>
          </w:tcPr>
          <w:p w14:paraId="38DFC95C" w14:textId="77777777" w:rsidR="003A607B" w:rsidRPr="00377F9F" w:rsidRDefault="003A607B" w:rsidP="007C0128">
            <w:pPr>
              <w:pStyle w:val="TableText"/>
              <w:keepLines w:val="0"/>
            </w:pPr>
            <w:r w:rsidRPr="00377F9F">
              <w:rPr>
                <w:rtl/>
              </w:rPr>
              <w:t>11.</w:t>
            </w:r>
          </w:p>
        </w:tc>
        <w:tc>
          <w:tcPr>
            <w:tcW w:w="7143" w:type="dxa"/>
          </w:tcPr>
          <w:p w14:paraId="7C3CA87B" w14:textId="77777777" w:rsidR="003A607B" w:rsidRPr="00377F9F" w:rsidRDefault="003A607B" w:rsidP="007C0128">
            <w:pPr>
              <w:pStyle w:val="TableBlock"/>
            </w:pPr>
            <w:r w:rsidRPr="00377F9F">
              <w:rPr>
                <w:rtl/>
              </w:rPr>
              <w:t>ראש הרשות יהיה אזרח ותושב ישראל, בעל ניסיון בתחומי פעילותה של הרשות.</w:t>
            </w:r>
          </w:p>
        </w:tc>
      </w:tr>
      <w:tr w:rsidR="003A607B" w:rsidRPr="00377F9F" w14:paraId="2A1E07F5" w14:textId="77777777" w:rsidTr="007C0128">
        <w:trPr>
          <w:cantSplit/>
        </w:trPr>
        <w:tc>
          <w:tcPr>
            <w:tcW w:w="1871" w:type="dxa"/>
          </w:tcPr>
          <w:p w14:paraId="4D7E5E3A" w14:textId="77777777" w:rsidR="003A607B" w:rsidRPr="00377F9F" w:rsidRDefault="003A607B" w:rsidP="007C0128">
            <w:pPr>
              <w:pStyle w:val="TableSideHeading"/>
              <w:keepLines w:val="0"/>
            </w:pPr>
            <w:r w:rsidRPr="00377F9F">
              <w:rPr>
                <w:rtl/>
              </w:rPr>
              <w:t>מינוי רופא הרשות</w:t>
            </w:r>
          </w:p>
        </w:tc>
        <w:tc>
          <w:tcPr>
            <w:tcW w:w="624" w:type="dxa"/>
          </w:tcPr>
          <w:p w14:paraId="03F1AD64" w14:textId="77777777" w:rsidR="003A607B" w:rsidRPr="00377F9F" w:rsidRDefault="003A607B" w:rsidP="007C0128">
            <w:pPr>
              <w:pStyle w:val="TableText"/>
              <w:keepLines w:val="0"/>
            </w:pPr>
            <w:r w:rsidRPr="00377F9F">
              <w:rPr>
                <w:rtl/>
              </w:rPr>
              <w:t>12.</w:t>
            </w:r>
          </w:p>
        </w:tc>
        <w:tc>
          <w:tcPr>
            <w:tcW w:w="7143" w:type="dxa"/>
          </w:tcPr>
          <w:p w14:paraId="69959264" w14:textId="77777777" w:rsidR="003A607B" w:rsidRPr="00377F9F" w:rsidRDefault="003A607B" w:rsidP="007C0128">
            <w:pPr>
              <w:pStyle w:val="TableBlock"/>
            </w:pPr>
            <w:r w:rsidRPr="00377F9F">
              <w:rPr>
                <w:rtl/>
              </w:rPr>
              <w:t>השר ימנה את רופא הרשות, אשר יהיה אזרח ותושב ישראל, רופא בעל ותק של 10 שנים לפחות, מומחה בעל רקע רפואי מתאים הכולל ניסיון בטיפול בנכים.</w:t>
            </w:r>
          </w:p>
        </w:tc>
      </w:tr>
      <w:tr w:rsidR="003A607B" w:rsidRPr="00377F9F" w14:paraId="6A6857BD" w14:textId="77777777" w:rsidTr="007C0128">
        <w:trPr>
          <w:cantSplit/>
        </w:trPr>
        <w:tc>
          <w:tcPr>
            <w:tcW w:w="1871" w:type="dxa"/>
          </w:tcPr>
          <w:p w14:paraId="5D23FE9F" w14:textId="77777777" w:rsidR="003A607B" w:rsidRPr="00377F9F" w:rsidRDefault="003A607B" w:rsidP="007C0128">
            <w:pPr>
              <w:pStyle w:val="TableSideHeading"/>
              <w:keepLines w:val="0"/>
            </w:pPr>
            <w:r w:rsidRPr="00377F9F">
              <w:rPr>
                <w:rtl/>
              </w:rPr>
              <w:t>תקופת כהונה</w:t>
            </w:r>
          </w:p>
        </w:tc>
        <w:tc>
          <w:tcPr>
            <w:tcW w:w="624" w:type="dxa"/>
          </w:tcPr>
          <w:p w14:paraId="48EBF194" w14:textId="77777777" w:rsidR="003A607B" w:rsidRPr="00377F9F" w:rsidRDefault="003A607B" w:rsidP="007C0128">
            <w:pPr>
              <w:pStyle w:val="TableText"/>
              <w:keepLines w:val="0"/>
            </w:pPr>
            <w:r w:rsidRPr="00377F9F">
              <w:rPr>
                <w:rtl/>
              </w:rPr>
              <w:t>13.</w:t>
            </w:r>
          </w:p>
        </w:tc>
        <w:tc>
          <w:tcPr>
            <w:tcW w:w="7143" w:type="dxa"/>
          </w:tcPr>
          <w:p w14:paraId="1E9F901C" w14:textId="77777777" w:rsidR="003A607B" w:rsidRPr="00377F9F" w:rsidRDefault="003A607B" w:rsidP="007C0128">
            <w:pPr>
              <w:pStyle w:val="TableBlock"/>
            </w:pPr>
            <w:r w:rsidRPr="00377F9F">
              <w:rPr>
                <w:rtl/>
              </w:rPr>
              <w:t xml:space="preserve">תקופת כהונתם של ראש הרשות ורופא הרשות תהיה 5 שנים; השר רשאי להאריך תקופה זו, פעם אחת, ל-5 שנים נוספות, באישור הממשלה. </w:t>
            </w:r>
          </w:p>
        </w:tc>
      </w:tr>
      <w:tr w:rsidR="003A607B" w:rsidRPr="00377F9F" w14:paraId="4C9CAE1D" w14:textId="77777777" w:rsidTr="007C0128">
        <w:trPr>
          <w:cantSplit/>
        </w:trPr>
        <w:tc>
          <w:tcPr>
            <w:tcW w:w="1871" w:type="dxa"/>
          </w:tcPr>
          <w:p w14:paraId="3FFAD822" w14:textId="77777777" w:rsidR="003A607B" w:rsidRPr="00377F9F" w:rsidRDefault="003A607B" w:rsidP="007C0128">
            <w:pPr>
              <w:pStyle w:val="TableSideHeading"/>
              <w:keepLines w:val="0"/>
            </w:pPr>
            <w:r w:rsidRPr="00377F9F">
              <w:rPr>
                <w:rtl/>
              </w:rPr>
              <w:t>מינוי רופאים</w:t>
            </w:r>
          </w:p>
        </w:tc>
        <w:tc>
          <w:tcPr>
            <w:tcW w:w="624" w:type="dxa"/>
          </w:tcPr>
          <w:p w14:paraId="15426E77" w14:textId="77777777" w:rsidR="003A607B" w:rsidRPr="00377F9F" w:rsidRDefault="003A607B" w:rsidP="007C0128">
            <w:pPr>
              <w:pStyle w:val="TableText"/>
              <w:keepLines w:val="0"/>
            </w:pPr>
            <w:r w:rsidRPr="00377F9F">
              <w:rPr>
                <w:rtl/>
              </w:rPr>
              <w:t>14.</w:t>
            </w:r>
          </w:p>
        </w:tc>
        <w:tc>
          <w:tcPr>
            <w:tcW w:w="7143" w:type="dxa"/>
          </w:tcPr>
          <w:p w14:paraId="3094841A" w14:textId="77777777" w:rsidR="003A607B" w:rsidRPr="00377F9F" w:rsidRDefault="003A607B" w:rsidP="007C0128">
            <w:pPr>
              <w:pStyle w:val="TableBlock"/>
            </w:pPr>
            <w:r w:rsidRPr="00377F9F">
              <w:rPr>
                <w:rtl/>
              </w:rPr>
              <w:t xml:space="preserve">הרשות תמנה רופאים שייבחרו במכרז לצורך איוש ועדות הערר שיתנהלו במסגרת הרשות; השר, לאחר התייעצות עם שר המשפטים, יקבע תנאים וכללים  למינוי רופאים לוועדות הערר. </w:t>
            </w:r>
          </w:p>
        </w:tc>
      </w:tr>
      <w:tr w:rsidR="003A607B" w:rsidRPr="00377F9F" w14:paraId="54AAFFD5" w14:textId="77777777" w:rsidTr="007C0128">
        <w:trPr>
          <w:cantSplit/>
        </w:trPr>
        <w:tc>
          <w:tcPr>
            <w:tcW w:w="1871" w:type="dxa"/>
          </w:tcPr>
          <w:p w14:paraId="31D0721E" w14:textId="77777777" w:rsidR="003A607B" w:rsidRPr="00377F9F" w:rsidRDefault="003A607B" w:rsidP="007C0128">
            <w:pPr>
              <w:pStyle w:val="TableSideHeading"/>
              <w:keepLines w:val="0"/>
            </w:pPr>
            <w:r w:rsidRPr="00377F9F">
              <w:rPr>
                <w:rtl/>
              </w:rPr>
              <w:t>הכשרת הרופאים הממונים</w:t>
            </w:r>
          </w:p>
        </w:tc>
        <w:tc>
          <w:tcPr>
            <w:tcW w:w="624" w:type="dxa"/>
          </w:tcPr>
          <w:p w14:paraId="24B6ABBD" w14:textId="77777777" w:rsidR="003A607B" w:rsidRPr="00377F9F" w:rsidRDefault="003A607B" w:rsidP="007C0128">
            <w:pPr>
              <w:pStyle w:val="TableText"/>
              <w:keepLines w:val="0"/>
            </w:pPr>
            <w:r w:rsidRPr="00377F9F">
              <w:rPr>
                <w:rtl/>
              </w:rPr>
              <w:t>15.</w:t>
            </w:r>
          </w:p>
        </w:tc>
        <w:tc>
          <w:tcPr>
            <w:tcW w:w="7143" w:type="dxa"/>
          </w:tcPr>
          <w:p w14:paraId="0EE7260A" w14:textId="77777777" w:rsidR="003A607B" w:rsidRPr="00377F9F" w:rsidRDefault="003A607B" w:rsidP="007C0128">
            <w:pPr>
              <w:pStyle w:val="TableBlock"/>
            </w:pPr>
            <w:r w:rsidRPr="00377F9F">
              <w:rPr>
                <w:rtl/>
              </w:rPr>
              <w:t>הרופאים שימונו יעברו הכשרה מקצועית מתאימה לתחום בו יעסקו במסגרת הרשות, לרבות בדבר הלקויות והנכויות ובדבר אחוזי נכות; הרופאים יעברו השתלמויות תקופתיות כפי שיקבע השר.</w:t>
            </w:r>
          </w:p>
        </w:tc>
      </w:tr>
      <w:tr w:rsidR="003A607B" w:rsidRPr="00377F9F" w14:paraId="6E342D48" w14:textId="77777777" w:rsidTr="007C0128">
        <w:trPr>
          <w:cantSplit/>
        </w:trPr>
        <w:tc>
          <w:tcPr>
            <w:tcW w:w="1871" w:type="dxa"/>
          </w:tcPr>
          <w:p w14:paraId="3F25830B" w14:textId="77777777" w:rsidR="003A607B" w:rsidRPr="00377F9F" w:rsidRDefault="003A607B" w:rsidP="007C0128">
            <w:pPr>
              <w:pStyle w:val="TableSideHeading"/>
              <w:keepLines w:val="0"/>
            </w:pPr>
            <w:r w:rsidRPr="00377F9F">
              <w:rPr>
                <w:rtl/>
              </w:rPr>
              <w:t>שכר חברי ועדת הערר</w:t>
            </w:r>
          </w:p>
        </w:tc>
        <w:tc>
          <w:tcPr>
            <w:tcW w:w="624" w:type="dxa"/>
          </w:tcPr>
          <w:p w14:paraId="1D210FB8" w14:textId="77777777" w:rsidR="003A607B" w:rsidRPr="00377F9F" w:rsidDel="00F13CFC" w:rsidRDefault="003A607B" w:rsidP="007C0128">
            <w:pPr>
              <w:pStyle w:val="TableText"/>
              <w:rPr>
                <w:rtl/>
              </w:rPr>
            </w:pPr>
            <w:r w:rsidRPr="00377F9F">
              <w:rPr>
                <w:rtl/>
              </w:rPr>
              <w:t>16.</w:t>
            </w:r>
          </w:p>
        </w:tc>
        <w:tc>
          <w:tcPr>
            <w:tcW w:w="7143" w:type="dxa"/>
          </w:tcPr>
          <w:p w14:paraId="1864CDB4" w14:textId="77777777" w:rsidR="003A607B" w:rsidRPr="00377F9F" w:rsidRDefault="003A607B" w:rsidP="007C0128">
            <w:pPr>
              <w:pStyle w:val="TableBlock"/>
              <w:rPr>
                <w:rtl/>
              </w:rPr>
            </w:pPr>
            <w:r w:rsidRPr="00377F9F">
              <w:rPr>
                <w:rtl/>
              </w:rPr>
              <w:t>שכר חברי ועדות הערר ישולם על ידי הרשות.</w:t>
            </w:r>
          </w:p>
        </w:tc>
      </w:tr>
      <w:tr w:rsidR="003A607B" w:rsidRPr="00377F9F" w14:paraId="0D5D3E5D" w14:textId="77777777" w:rsidTr="007C0128">
        <w:trPr>
          <w:cantSplit/>
        </w:trPr>
        <w:tc>
          <w:tcPr>
            <w:tcW w:w="1871" w:type="dxa"/>
          </w:tcPr>
          <w:p w14:paraId="62BA1A84" w14:textId="77777777" w:rsidR="003A607B" w:rsidRPr="00377F9F" w:rsidRDefault="003A607B" w:rsidP="007C0128">
            <w:pPr>
              <w:pStyle w:val="TableSideHeading"/>
              <w:keepLines w:val="0"/>
            </w:pPr>
            <w:r w:rsidRPr="00377F9F">
              <w:rPr>
                <w:rtl/>
              </w:rPr>
              <w:t>התקשרויות עם יועצים</w:t>
            </w:r>
          </w:p>
        </w:tc>
        <w:tc>
          <w:tcPr>
            <w:tcW w:w="624" w:type="dxa"/>
          </w:tcPr>
          <w:p w14:paraId="1898216F" w14:textId="77777777" w:rsidR="003A607B" w:rsidRPr="00377F9F" w:rsidRDefault="003A607B" w:rsidP="007C0128">
            <w:pPr>
              <w:pStyle w:val="TableText"/>
              <w:keepLines w:val="0"/>
            </w:pPr>
            <w:r w:rsidRPr="00377F9F">
              <w:rPr>
                <w:rtl/>
              </w:rPr>
              <w:t>17.</w:t>
            </w:r>
          </w:p>
        </w:tc>
        <w:tc>
          <w:tcPr>
            <w:tcW w:w="7143" w:type="dxa"/>
          </w:tcPr>
          <w:p w14:paraId="1F474CE2" w14:textId="77777777" w:rsidR="003A607B" w:rsidRPr="00377F9F" w:rsidRDefault="003A607B" w:rsidP="007C0128">
            <w:pPr>
              <w:pStyle w:val="TableBlock"/>
            </w:pPr>
            <w:r w:rsidRPr="00377F9F">
              <w:rPr>
                <w:rtl/>
              </w:rPr>
              <w:t xml:space="preserve">לצורך מילוי תפקידן, יוכלו ועדות הערר להתייעץ עם גורמים חיצוניים, לרבות עם משרדי הממשלה ועם יועצים חיצוניים; השר רשאי לקבוע את דרכי ההתקשרות, אופן קבלת המידע ואופן שמירתו. </w:t>
            </w:r>
          </w:p>
        </w:tc>
      </w:tr>
      <w:tr w:rsidR="003A607B" w:rsidRPr="00377F9F" w14:paraId="2FF9832F" w14:textId="77777777" w:rsidTr="007C0128">
        <w:trPr>
          <w:cantSplit/>
        </w:trPr>
        <w:tc>
          <w:tcPr>
            <w:tcW w:w="1871" w:type="dxa"/>
          </w:tcPr>
          <w:p w14:paraId="4D2E3B78" w14:textId="77777777" w:rsidR="003A607B" w:rsidRPr="00377F9F" w:rsidRDefault="003A607B" w:rsidP="007C0128">
            <w:pPr>
              <w:pStyle w:val="TableSideHeading"/>
              <w:keepLines w:val="0"/>
            </w:pPr>
            <w:r w:rsidRPr="00377F9F">
              <w:rPr>
                <w:rtl/>
              </w:rPr>
              <w:t>מקום הרשות</w:t>
            </w:r>
          </w:p>
        </w:tc>
        <w:tc>
          <w:tcPr>
            <w:tcW w:w="624" w:type="dxa"/>
          </w:tcPr>
          <w:p w14:paraId="01AC4197" w14:textId="77777777" w:rsidR="003A607B" w:rsidRPr="00377F9F" w:rsidRDefault="003A607B" w:rsidP="007C0128">
            <w:pPr>
              <w:pStyle w:val="TableText"/>
              <w:keepLines w:val="0"/>
            </w:pPr>
            <w:r w:rsidRPr="00377F9F">
              <w:rPr>
                <w:rtl/>
              </w:rPr>
              <w:t>18.</w:t>
            </w:r>
          </w:p>
        </w:tc>
        <w:tc>
          <w:tcPr>
            <w:tcW w:w="7143" w:type="dxa"/>
          </w:tcPr>
          <w:p w14:paraId="485CECE9" w14:textId="77777777" w:rsidR="003A607B" w:rsidRPr="00377F9F" w:rsidRDefault="003A607B" w:rsidP="007C0128">
            <w:pPr>
              <w:pStyle w:val="TableBlock"/>
            </w:pPr>
            <w:r w:rsidRPr="00377F9F">
              <w:rPr>
                <w:rtl/>
              </w:rPr>
              <w:t>מקום מושבה של הרשות ומוסדותיה יהיה ירושלים; ועדות הערר הרפואיות של הרשות יפעלו בפריסה ארצית כפי שיקבע השר בצו (להלן – ועדות ערר מקומיות).</w:t>
            </w:r>
          </w:p>
        </w:tc>
      </w:tr>
      <w:tr w:rsidR="003A607B" w:rsidRPr="00377F9F" w14:paraId="7E5A8F77" w14:textId="77777777" w:rsidTr="007C0128">
        <w:trPr>
          <w:cantSplit/>
        </w:trPr>
        <w:tc>
          <w:tcPr>
            <w:tcW w:w="1871" w:type="dxa"/>
          </w:tcPr>
          <w:p w14:paraId="122A7912" w14:textId="77777777" w:rsidR="003A607B" w:rsidRPr="00377F9F" w:rsidRDefault="003A607B" w:rsidP="007C0128">
            <w:pPr>
              <w:pStyle w:val="TableSideHeading"/>
              <w:keepLines w:val="0"/>
            </w:pPr>
            <w:r w:rsidRPr="00377F9F">
              <w:rPr>
                <w:rtl/>
              </w:rPr>
              <w:t>מושב הוועדות המקומיות</w:t>
            </w:r>
          </w:p>
        </w:tc>
        <w:tc>
          <w:tcPr>
            <w:tcW w:w="624" w:type="dxa"/>
          </w:tcPr>
          <w:p w14:paraId="02735699" w14:textId="77777777" w:rsidR="003A607B" w:rsidRPr="00377F9F" w:rsidRDefault="003A607B" w:rsidP="007C0128">
            <w:pPr>
              <w:pStyle w:val="TableText"/>
              <w:keepLines w:val="0"/>
            </w:pPr>
            <w:r w:rsidRPr="00377F9F">
              <w:rPr>
                <w:rtl/>
              </w:rPr>
              <w:t>19.</w:t>
            </w:r>
          </w:p>
        </w:tc>
        <w:tc>
          <w:tcPr>
            <w:tcW w:w="7143" w:type="dxa"/>
          </w:tcPr>
          <w:p w14:paraId="1DCDE1C2" w14:textId="77777777" w:rsidR="003A607B" w:rsidRPr="00377F9F" w:rsidRDefault="003A607B" w:rsidP="007C0128">
            <w:pPr>
              <w:pStyle w:val="TableBlock"/>
            </w:pPr>
            <w:r w:rsidRPr="00377F9F">
              <w:rPr>
                <w:rtl/>
              </w:rPr>
              <w:t>ועדות הערר המקומיות לא יפעלו בתוך משרדי המוסד לביטוח לאומי, משרדי ממשלה השונים, או מוסד אחר שבערר על פעולותיו הן מוסמכות לדון.</w:t>
            </w:r>
          </w:p>
        </w:tc>
      </w:tr>
      <w:tr w:rsidR="003A607B" w:rsidRPr="00377F9F" w14:paraId="32DCF0A5" w14:textId="77777777" w:rsidTr="007C0128">
        <w:trPr>
          <w:cantSplit/>
        </w:trPr>
        <w:tc>
          <w:tcPr>
            <w:tcW w:w="1871" w:type="dxa"/>
          </w:tcPr>
          <w:p w14:paraId="733EBDB7" w14:textId="77777777" w:rsidR="003A607B" w:rsidRPr="00377F9F" w:rsidRDefault="003A607B" w:rsidP="007C0128">
            <w:pPr>
              <w:pStyle w:val="TableSideHeading"/>
              <w:keepLines w:val="0"/>
            </w:pPr>
            <w:r w:rsidRPr="00377F9F">
              <w:rPr>
                <w:rtl/>
              </w:rPr>
              <w:t>עובדי הרשות</w:t>
            </w:r>
          </w:p>
        </w:tc>
        <w:tc>
          <w:tcPr>
            <w:tcW w:w="624" w:type="dxa"/>
          </w:tcPr>
          <w:p w14:paraId="49010E7D" w14:textId="77777777" w:rsidR="003A607B" w:rsidRPr="00377F9F" w:rsidRDefault="003A607B" w:rsidP="007C0128">
            <w:pPr>
              <w:pStyle w:val="TableText"/>
              <w:keepLines w:val="0"/>
            </w:pPr>
            <w:r w:rsidRPr="00377F9F">
              <w:rPr>
                <w:rtl/>
              </w:rPr>
              <w:t>20.</w:t>
            </w:r>
          </w:p>
        </w:tc>
        <w:tc>
          <w:tcPr>
            <w:tcW w:w="7143" w:type="dxa"/>
          </w:tcPr>
          <w:p w14:paraId="4895B8BC" w14:textId="77777777" w:rsidR="003A607B" w:rsidRPr="00377F9F" w:rsidRDefault="003A607B" w:rsidP="007C0128">
            <w:pPr>
              <w:pStyle w:val="TableBlock"/>
            </w:pPr>
            <w:r w:rsidRPr="00377F9F">
              <w:rPr>
                <w:rtl/>
              </w:rPr>
              <w:t>עובדי הרשות יהיו עובדי המדינה ויכללו, בין היתר, יועץ משפטי, מבקר פנים, מזכיר ראשי לוועדות, חשב ועובד סוציאלי.</w:t>
            </w:r>
          </w:p>
        </w:tc>
      </w:tr>
      <w:tr w:rsidR="003A607B" w:rsidRPr="00377F9F" w14:paraId="07158A6B" w14:textId="77777777" w:rsidTr="007C0128">
        <w:trPr>
          <w:cantSplit/>
        </w:trPr>
        <w:tc>
          <w:tcPr>
            <w:tcW w:w="1871" w:type="dxa"/>
          </w:tcPr>
          <w:p w14:paraId="6108B671" w14:textId="77777777" w:rsidR="003A607B" w:rsidRPr="00377F9F" w:rsidRDefault="003A607B" w:rsidP="007C0128">
            <w:pPr>
              <w:pStyle w:val="TableSideHeading"/>
              <w:keepLines w:val="0"/>
            </w:pPr>
            <w:r w:rsidRPr="00377F9F">
              <w:rPr>
                <w:rtl/>
              </w:rPr>
              <w:lastRenderedPageBreak/>
              <w:t>פעולת הוועדות</w:t>
            </w:r>
          </w:p>
        </w:tc>
        <w:tc>
          <w:tcPr>
            <w:tcW w:w="624" w:type="dxa"/>
          </w:tcPr>
          <w:p w14:paraId="264BF85A" w14:textId="77777777" w:rsidR="003A607B" w:rsidRPr="00377F9F" w:rsidRDefault="003A607B" w:rsidP="007C0128">
            <w:pPr>
              <w:pStyle w:val="TableText"/>
              <w:keepLines w:val="0"/>
            </w:pPr>
            <w:r w:rsidRPr="00377F9F">
              <w:rPr>
                <w:rtl/>
              </w:rPr>
              <w:t>21.</w:t>
            </w:r>
          </w:p>
        </w:tc>
        <w:tc>
          <w:tcPr>
            <w:tcW w:w="7143" w:type="dxa"/>
          </w:tcPr>
          <w:p w14:paraId="4B834C5E" w14:textId="77777777" w:rsidR="003A607B" w:rsidRPr="00377F9F" w:rsidRDefault="003A607B" w:rsidP="007C0128">
            <w:pPr>
              <w:pStyle w:val="TableBlock"/>
            </w:pPr>
            <w:r w:rsidRPr="00377F9F">
              <w:rPr>
                <w:rtl/>
              </w:rPr>
              <w:t>עובדי הרשות, כמו גם ועדות הערר הרפואיות, יפעלו לפי ההוראות הקבועות בחוקים המפורטים בתוספת, לפי העניין, לרבות לעניין קביעת אחוזי הנכות.</w:t>
            </w:r>
          </w:p>
        </w:tc>
      </w:tr>
      <w:tr w:rsidR="003A607B" w:rsidRPr="00377F9F" w14:paraId="3F2CB880" w14:textId="77777777" w:rsidTr="007C0128">
        <w:trPr>
          <w:cantSplit/>
        </w:trPr>
        <w:tc>
          <w:tcPr>
            <w:tcW w:w="1871" w:type="dxa"/>
          </w:tcPr>
          <w:p w14:paraId="606BDD4C" w14:textId="77777777" w:rsidR="003A607B" w:rsidRPr="00377F9F" w:rsidRDefault="003A607B" w:rsidP="007C0128">
            <w:pPr>
              <w:pStyle w:val="TableSideHeading"/>
              <w:keepLines w:val="0"/>
            </w:pPr>
            <w:r w:rsidRPr="00377F9F">
              <w:rPr>
                <w:rtl/>
              </w:rPr>
              <w:t>משקיף בוועדה</w:t>
            </w:r>
          </w:p>
        </w:tc>
        <w:tc>
          <w:tcPr>
            <w:tcW w:w="624" w:type="dxa"/>
          </w:tcPr>
          <w:p w14:paraId="25158FD1" w14:textId="77777777" w:rsidR="003A607B" w:rsidRPr="00377F9F" w:rsidRDefault="003A607B" w:rsidP="007C0128">
            <w:pPr>
              <w:pStyle w:val="TableText"/>
              <w:keepLines w:val="0"/>
            </w:pPr>
            <w:r w:rsidRPr="00377F9F">
              <w:rPr>
                <w:rtl/>
              </w:rPr>
              <w:t>22.</w:t>
            </w:r>
          </w:p>
        </w:tc>
        <w:tc>
          <w:tcPr>
            <w:tcW w:w="7143" w:type="dxa"/>
          </w:tcPr>
          <w:p w14:paraId="473B0B49" w14:textId="77777777" w:rsidR="003A607B" w:rsidRPr="00377F9F" w:rsidRDefault="003A607B" w:rsidP="007C0128">
            <w:pPr>
              <w:pStyle w:val="TableBlock"/>
            </w:pPr>
            <w:r w:rsidRPr="00377F9F">
              <w:rPr>
                <w:rtl/>
              </w:rPr>
              <w:t>הנבדק רשאי לבקש נוכחות של נציג ארגוני הנכים בוועדה, אשר ישמש כמשקיף.</w:t>
            </w:r>
          </w:p>
        </w:tc>
      </w:tr>
      <w:tr w:rsidR="003A607B" w:rsidRPr="00377F9F" w14:paraId="5F0B6CC8" w14:textId="77777777" w:rsidTr="007C0128">
        <w:trPr>
          <w:cantSplit/>
        </w:trPr>
        <w:tc>
          <w:tcPr>
            <w:tcW w:w="1871" w:type="dxa"/>
          </w:tcPr>
          <w:p w14:paraId="31AEDD31" w14:textId="77777777" w:rsidR="003A607B" w:rsidRPr="00377F9F" w:rsidRDefault="003A607B" w:rsidP="007C0128">
            <w:pPr>
              <w:pStyle w:val="TableSideHeading"/>
              <w:keepLines w:val="0"/>
            </w:pPr>
            <w:r w:rsidRPr="00377F9F">
              <w:rPr>
                <w:rtl/>
              </w:rPr>
              <w:t>ערעור</w:t>
            </w:r>
          </w:p>
        </w:tc>
        <w:tc>
          <w:tcPr>
            <w:tcW w:w="624" w:type="dxa"/>
          </w:tcPr>
          <w:p w14:paraId="1C6880B6" w14:textId="77777777" w:rsidR="003A607B" w:rsidRPr="00377F9F" w:rsidRDefault="003A607B" w:rsidP="007C0128">
            <w:pPr>
              <w:pStyle w:val="TableText"/>
              <w:keepLines w:val="0"/>
            </w:pPr>
            <w:r w:rsidRPr="00377F9F">
              <w:rPr>
                <w:rtl/>
              </w:rPr>
              <w:t>23.</w:t>
            </w:r>
          </w:p>
        </w:tc>
        <w:tc>
          <w:tcPr>
            <w:tcW w:w="7143" w:type="dxa"/>
          </w:tcPr>
          <w:p w14:paraId="701E8CC6" w14:textId="77777777" w:rsidR="003A607B" w:rsidRPr="00377F9F" w:rsidRDefault="003A607B" w:rsidP="007C0128">
            <w:pPr>
              <w:pStyle w:val="TableBlock"/>
            </w:pPr>
            <w:r w:rsidRPr="00377F9F">
              <w:rPr>
                <w:rtl/>
              </w:rPr>
              <w:t>החלטותיהן של ועדות הערר הרפואיות יהיו ניתנות לערעור בפני בית הדין לעבודה; פסק דינו של בית הדין לעבודה יהיה ניתן לערעור ברשות מאת נשיא בית הדין הארצי לעבודה או סגנו, או מאת שופט אחר של בית הדין הארצי לעבודה שהנשיא מינה לכך.</w:t>
            </w:r>
          </w:p>
        </w:tc>
      </w:tr>
      <w:tr w:rsidR="003A607B" w:rsidRPr="00377F9F" w14:paraId="3509AF41" w14:textId="77777777" w:rsidTr="007C0128">
        <w:trPr>
          <w:cantSplit/>
        </w:trPr>
        <w:tc>
          <w:tcPr>
            <w:tcW w:w="1871" w:type="dxa"/>
          </w:tcPr>
          <w:p w14:paraId="54592160" w14:textId="77777777" w:rsidR="003A607B" w:rsidRPr="00377F9F" w:rsidRDefault="003A607B" w:rsidP="007C0128">
            <w:pPr>
              <w:pStyle w:val="TableSideHeading"/>
              <w:keepLines w:val="0"/>
            </w:pPr>
            <w:r w:rsidRPr="00377F9F">
              <w:rPr>
                <w:rtl/>
              </w:rPr>
              <w:t>הרכב</w:t>
            </w:r>
          </w:p>
        </w:tc>
        <w:tc>
          <w:tcPr>
            <w:tcW w:w="624" w:type="dxa"/>
          </w:tcPr>
          <w:p w14:paraId="7A624F37" w14:textId="77777777" w:rsidR="003A607B" w:rsidRPr="00377F9F" w:rsidRDefault="003A607B" w:rsidP="007C0128">
            <w:pPr>
              <w:pStyle w:val="TableText"/>
              <w:keepLines w:val="0"/>
            </w:pPr>
            <w:r w:rsidRPr="00377F9F">
              <w:rPr>
                <w:rtl/>
              </w:rPr>
              <w:t>24.</w:t>
            </w:r>
          </w:p>
        </w:tc>
        <w:tc>
          <w:tcPr>
            <w:tcW w:w="7143" w:type="dxa"/>
          </w:tcPr>
          <w:p w14:paraId="2885EE0A" w14:textId="77777777" w:rsidR="003A607B" w:rsidRPr="00377F9F" w:rsidRDefault="003A607B" w:rsidP="007C0128">
            <w:pPr>
              <w:pStyle w:val="TableBlock"/>
            </w:pPr>
            <w:r w:rsidRPr="00377F9F">
              <w:rPr>
                <w:rtl/>
              </w:rPr>
              <w:t>בערעור על החלטת ועדת ערר רפואית, כאמור בסעיף 23, יהיו בין נציגי הציבור רופא ונציג נכים.</w:t>
            </w:r>
          </w:p>
        </w:tc>
      </w:tr>
      <w:tr w:rsidR="003A607B" w:rsidRPr="00377F9F" w14:paraId="41469ED1" w14:textId="77777777" w:rsidTr="007C0128">
        <w:trPr>
          <w:cantSplit/>
        </w:trPr>
        <w:tc>
          <w:tcPr>
            <w:tcW w:w="1871" w:type="dxa"/>
          </w:tcPr>
          <w:p w14:paraId="4F951E3D" w14:textId="77777777" w:rsidR="003A607B" w:rsidRPr="00377F9F" w:rsidRDefault="003A607B" w:rsidP="007C0128">
            <w:pPr>
              <w:pStyle w:val="TableSideHeading"/>
              <w:keepLines w:val="0"/>
            </w:pPr>
            <w:r w:rsidRPr="00377F9F">
              <w:rPr>
                <w:rtl/>
              </w:rPr>
              <w:t>ביצוע ותקנות</w:t>
            </w:r>
          </w:p>
        </w:tc>
        <w:tc>
          <w:tcPr>
            <w:tcW w:w="624" w:type="dxa"/>
          </w:tcPr>
          <w:p w14:paraId="26B5EAE5" w14:textId="77777777" w:rsidR="003A607B" w:rsidRPr="00377F9F" w:rsidRDefault="003A607B" w:rsidP="007C0128">
            <w:pPr>
              <w:pStyle w:val="TableText"/>
              <w:keepLines w:val="0"/>
            </w:pPr>
            <w:r w:rsidRPr="00377F9F">
              <w:rPr>
                <w:rtl/>
              </w:rPr>
              <w:t>25.</w:t>
            </w:r>
          </w:p>
        </w:tc>
        <w:tc>
          <w:tcPr>
            <w:tcW w:w="7143" w:type="dxa"/>
          </w:tcPr>
          <w:p w14:paraId="2C0119C7" w14:textId="77777777" w:rsidR="003A607B" w:rsidRPr="00377F9F" w:rsidRDefault="003A607B" w:rsidP="007C0128">
            <w:pPr>
              <w:pStyle w:val="TableBlock"/>
            </w:pPr>
            <w:r w:rsidRPr="00377F9F">
              <w:rPr>
                <w:rtl/>
              </w:rPr>
              <w:t xml:space="preserve">השר ממונה על ביצועו של חוק זה והוא רשאי להתקין תקנות בכל הנוגע לביצועו, לרבות בעניינים אלה: </w:t>
            </w:r>
          </w:p>
        </w:tc>
      </w:tr>
      <w:tr w:rsidR="003A607B" w:rsidRPr="00377F9F" w14:paraId="6C4B5A74" w14:textId="77777777" w:rsidTr="007C0128">
        <w:trPr>
          <w:cantSplit/>
        </w:trPr>
        <w:tc>
          <w:tcPr>
            <w:tcW w:w="1871" w:type="dxa"/>
          </w:tcPr>
          <w:p w14:paraId="4D478241" w14:textId="77777777" w:rsidR="003A607B" w:rsidRPr="00377F9F" w:rsidRDefault="003A607B" w:rsidP="007C0128">
            <w:pPr>
              <w:pStyle w:val="TableSideHeading"/>
            </w:pPr>
          </w:p>
        </w:tc>
        <w:tc>
          <w:tcPr>
            <w:tcW w:w="624" w:type="dxa"/>
          </w:tcPr>
          <w:p w14:paraId="4B5CD8A5" w14:textId="77777777" w:rsidR="003A607B" w:rsidRPr="00377F9F" w:rsidRDefault="003A607B" w:rsidP="007C0128">
            <w:pPr>
              <w:pStyle w:val="TableText"/>
            </w:pPr>
          </w:p>
        </w:tc>
        <w:tc>
          <w:tcPr>
            <w:tcW w:w="7143" w:type="dxa"/>
          </w:tcPr>
          <w:p w14:paraId="43F01466" w14:textId="77777777" w:rsidR="003A607B" w:rsidRPr="00377F9F" w:rsidRDefault="003A607B" w:rsidP="007C0128">
            <w:pPr>
              <w:pStyle w:val="TableBlock"/>
            </w:pPr>
            <w:r w:rsidRPr="00377F9F">
              <w:rPr>
                <w:rtl/>
              </w:rPr>
              <w:t>(1)</w:t>
            </w:r>
            <w:r w:rsidRPr="00377F9F">
              <w:rPr>
                <w:rtl/>
              </w:rPr>
              <w:tab/>
              <w:t>אופן מינוי ועדות הערר, הרכבן וסדרי עבודתן, לרבות בדבר משך הזמן המינימאלי שיוקדש לכל דיון;</w:t>
            </w:r>
          </w:p>
        </w:tc>
      </w:tr>
      <w:tr w:rsidR="003A607B" w:rsidRPr="00377F9F" w14:paraId="5B1DCB66" w14:textId="77777777" w:rsidTr="007C0128">
        <w:trPr>
          <w:cantSplit/>
        </w:trPr>
        <w:tc>
          <w:tcPr>
            <w:tcW w:w="1871" w:type="dxa"/>
          </w:tcPr>
          <w:p w14:paraId="21DA0655" w14:textId="77777777" w:rsidR="003A607B" w:rsidRPr="00377F9F" w:rsidRDefault="003A607B" w:rsidP="007C0128">
            <w:pPr>
              <w:pStyle w:val="TableSideHeading"/>
            </w:pPr>
          </w:p>
        </w:tc>
        <w:tc>
          <w:tcPr>
            <w:tcW w:w="624" w:type="dxa"/>
          </w:tcPr>
          <w:p w14:paraId="4431BDD3" w14:textId="77777777" w:rsidR="003A607B" w:rsidRPr="00377F9F" w:rsidRDefault="003A607B" w:rsidP="007C0128">
            <w:pPr>
              <w:pStyle w:val="TableText"/>
            </w:pPr>
          </w:p>
        </w:tc>
        <w:tc>
          <w:tcPr>
            <w:tcW w:w="7143" w:type="dxa"/>
          </w:tcPr>
          <w:p w14:paraId="434C246A" w14:textId="77777777" w:rsidR="003A607B" w:rsidRPr="00377F9F" w:rsidRDefault="003A607B" w:rsidP="007C0128">
            <w:pPr>
              <w:pStyle w:val="TableBlock"/>
              <w:rPr>
                <w:rtl/>
              </w:rPr>
            </w:pPr>
            <w:r w:rsidRPr="00377F9F">
              <w:rPr>
                <w:rtl/>
              </w:rPr>
              <w:t>(2)</w:t>
            </w:r>
            <w:r w:rsidRPr="00377F9F">
              <w:rPr>
                <w:rtl/>
              </w:rPr>
              <w:tab/>
              <w:t>סדרי הדין להגשת עררים;</w:t>
            </w:r>
          </w:p>
        </w:tc>
      </w:tr>
      <w:tr w:rsidR="003A607B" w:rsidRPr="00377F9F" w14:paraId="5CA7B001" w14:textId="77777777" w:rsidTr="007C0128">
        <w:trPr>
          <w:cantSplit/>
        </w:trPr>
        <w:tc>
          <w:tcPr>
            <w:tcW w:w="1871" w:type="dxa"/>
          </w:tcPr>
          <w:p w14:paraId="2111008B" w14:textId="77777777" w:rsidR="003A607B" w:rsidRPr="00377F9F" w:rsidRDefault="003A607B" w:rsidP="007C0128">
            <w:pPr>
              <w:pStyle w:val="TableSideHeading"/>
            </w:pPr>
          </w:p>
        </w:tc>
        <w:tc>
          <w:tcPr>
            <w:tcW w:w="624" w:type="dxa"/>
          </w:tcPr>
          <w:p w14:paraId="244E8AF9" w14:textId="77777777" w:rsidR="003A607B" w:rsidRPr="00377F9F" w:rsidRDefault="003A607B" w:rsidP="007C0128">
            <w:pPr>
              <w:pStyle w:val="TableText"/>
            </w:pPr>
          </w:p>
        </w:tc>
        <w:tc>
          <w:tcPr>
            <w:tcW w:w="7143" w:type="dxa"/>
          </w:tcPr>
          <w:p w14:paraId="743627F4" w14:textId="77777777" w:rsidR="003A607B" w:rsidRPr="00377F9F" w:rsidRDefault="003A607B" w:rsidP="007C0128">
            <w:pPr>
              <w:pStyle w:val="TableBlock"/>
              <w:rPr>
                <w:rtl/>
              </w:rPr>
            </w:pPr>
            <w:r w:rsidRPr="00377F9F">
              <w:rPr>
                <w:rtl/>
              </w:rPr>
              <w:t>(3)</w:t>
            </w:r>
            <w:r w:rsidRPr="00377F9F">
              <w:rPr>
                <w:rtl/>
              </w:rPr>
              <w:tab/>
              <w:t>הנחיות להעברת התיק הרפואי מהגוף שעל החלטתו מוגש הערר, אל הרשות;</w:t>
            </w:r>
          </w:p>
        </w:tc>
      </w:tr>
      <w:tr w:rsidR="003A607B" w:rsidRPr="00377F9F" w14:paraId="54DFF5F1" w14:textId="77777777" w:rsidTr="007C0128">
        <w:trPr>
          <w:cantSplit/>
        </w:trPr>
        <w:tc>
          <w:tcPr>
            <w:tcW w:w="1871" w:type="dxa"/>
          </w:tcPr>
          <w:p w14:paraId="2817F3A7" w14:textId="77777777" w:rsidR="003A607B" w:rsidRPr="00377F9F" w:rsidRDefault="003A607B" w:rsidP="007C0128">
            <w:pPr>
              <w:pStyle w:val="TableSideHeading"/>
            </w:pPr>
          </w:p>
        </w:tc>
        <w:tc>
          <w:tcPr>
            <w:tcW w:w="624" w:type="dxa"/>
          </w:tcPr>
          <w:p w14:paraId="39EB069D" w14:textId="77777777" w:rsidR="003A607B" w:rsidRPr="00377F9F" w:rsidRDefault="003A607B" w:rsidP="007C0128">
            <w:pPr>
              <w:pStyle w:val="TableText"/>
            </w:pPr>
          </w:p>
        </w:tc>
        <w:tc>
          <w:tcPr>
            <w:tcW w:w="7143" w:type="dxa"/>
          </w:tcPr>
          <w:p w14:paraId="086990AD" w14:textId="77777777" w:rsidR="003A607B" w:rsidRPr="00377F9F" w:rsidRDefault="003A607B" w:rsidP="007C0128">
            <w:pPr>
              <w:pStyle w:val="TableBlock"/>
              <w:rPr>
                <w:rtl/>
              </w:rPr>
            </w:pPr>
            <w:r w:rsidRPr="00377F9F">
              <w:rPr>
                <w:rtl/>
              </w:rPr>
              <w:t>(4)</w:t>
            </w:r>
            <w:r w:rsidRPr="00377F9F">
              <w:rPr>
                <w:rtl/>
              </w:rPr>
              <w:tab/>
              <w:t>הנחיות ומועדים להעברת חומר רלוונטי לצדדים לערר טרם הדיון;</w:t>
            </w:r>
          </w:p>
        </w:tc>
      </w:tr>
      <w:tr w:rsidR="003A607B" w:rsidRPr="00377F9F" w14:paraId="71D80022" w14:textId="77777777" w:rsidTr="007C0128">
        <w:trPr>
          <w:cantSplit/>
        </w:trPr>
        <w:tc>
          <w:tcPr>
            <w:tcW w:w="1871" w:type="dxa"/>
          </w:tcPr>
          <w:p w14:paraId="2EEB0820" w14:textId="77777777" w:rsidR="003A607B" w:rsidRPr="00377F9F" w:rsidRDefault="003A607B" w:rsidP="007C0128">
            <w:pPr>
              <w:pStyle w:val="TableSideHeading"/>
            </w:pPr>
          </w:p>
        </w:tc>
        <w:tc>
          <w:tcPr>
            <w:tcW w:w="624" w:type="dxa"/>
          </w:tcPr>
          <w:p w14:paraId="09A38AD8" w14:textId="77777777" w:rsidR="003A607B" w:rsidRPr="00377F9F" w:rsidRDefault="003A607B" w:rsidP="007C0128">
            <w:pPr>
              <w:pStyle w:val="TableText"/>
            </w:pPr>
          </w:p>
        </w:tc>
        <w:tc>
          <w:tcPr>
            <w:tcW w:w="7143" w:type="dxa"/>
          </w:tcPr>
          <w:p w14:paraId="6212446D" w14:textId="77777777" w:rsidR="003A607B" w:rsidRPr="00377F9F" w:rsidRDefault="003A607B" w:rsidP="007C0128">
            <w:pPr>
              <w:pStyle w:val="TableBlock"/>
              <w:rPr>
                <w:rtl/>
              </w:rPr>
            </w:pPr>
            <w:r w:rsidRPr="00377F9F">
              <w:rPr>
                <w:rtl/>
              </w:rPr>
              <w:t>(5)</w:t>
            </w:r>
            <w:r w:rsidRPr="00377F9F">
              <w:rPr>
                <w:rtl/>
              </w:rPr>
              <w:tab/>
              <w:t>סדרי משלוח הודעות והחלטות לצדדים לערר;</w:t>
            </w:r>
          </w:p>
        </w:tc>
      </w:tr>
      <w:tr w:rsidR="003A607B" w:rsidRPr="00377F9F" w14:paraId="6CFFAD59" w14:textId="77777777" w:rsidTr="007C0128">
        <w:trPr>
          <w:cantSplit/>
        </w:trPr>
        <w:tc>
          <w:tcPr>
            <w:tcW w:w="1871" w:type="dxa"/>
          </w:tcPr>
          <w:p w14:paraId="0689FFD5" w14:textId="77777777" w:rsidR="003A607B" w:rsidRPr="00377F9F" w:rsidRDefault="003A607B" w:rsidP="007C0128">
            <w:pPr>
              <w:pStyle w:val="TableSideHeading"/>
            </w:pPr>
          </w:p>
        </w:tc>
        <w:tc>
          <w:tcPr>
            <w:tcW w:w="624" w:type="dxa"/>
          </w:tcPr>
          <w:p w14:paraId="77283C02" w14:textId="77777777" w:rsidR="003A607B" w:rsidRPr="00377F9F" w:rsidRDefault="003A607B" w:rsidP="007C0128">
            <w:pPr>
              <w:pStyle w:val="TableText"/>
            </w:pPr>
          </w:p>
        </w:tc>
        <w:tc>
          <w:tcPr>
            <w:tcW w:w="7143" w:type="dxa"/>
          </w:tcPr>
          <w:p w14:paraId="5D930A51" w14:textId="77777777" w:rsidR="003A607B" w:rsidRPr="00377F9F" w:rsidRDefault="003A607B" w:rsidP="007C0128">
            <w:pPr>
              <w:pStyle w:val="TableBlock"/>
              <w:rPr>
                <w:rtl/>
              </w:rPr>
            </w:pPr>
            <w:r w:rsidRPr="00377F9F">
              <w:rPr>
                <w:rtl/>
              </w:rPr>
              <w:t>(6)</w:t>
            </w:r>
            <w:r w:rsidRPr="00377F9F">
              <w:rPr>
                <w:rtl/>
              </w:rPr>
              <w:tab/>
              <w:t>סדרי ייצוג וליווי בפני ועדות הערר;</w:t>
            </w:r>
          </w:p>
        </w:tc>
      </w:tr>
      <w:tr w:rsidR="003A607B" w:rsidRPr="00377F9F" w14:paraId="1B44AE5E" w14:textId="77777777" w:rsidTr="007C0128">
        <w:trPr>
          <w:cantSplit/>
        </w:trPr>
        <w:tc>
          <w:tcPr>
            <w:tcW w:w="1871" w:type="dxa"/>
          </w:tcPr>
          <w:p w14:paraId="27AA2D10" w14:textId="77777777" w:rsidR="003A607B" w:rsidRPr="00377F9F" w:rsidRDefault="003A607B" w:rsidP="007C0128">
            <w:pPr>
              <w:pStyle w:val="TableSideHeading"/>
            </w:pPr>
          </w:p>
        </w:tc>
        <w:tc>
          <w:tcPr>
            <w:tcW w:w="624" w:type="dxa"/>
          </w:tcPr>
          <w:p w14:paraId="468F90DC" w14:textId="77777777" w:rsidR="003A607B" w:rsidRPr="00377F9F" w:rsidRDefault="003A607B" w:rsidP="007C0128">
            <w:pPr>
              <w:pStyle w:val="TableText"/>
            </w:pPr>
          </w:p>
        </w:tc>
        <w:tc>
          <w:tcPr>
            <w:tcW w:w="7143" w:type="dxa"/>
          </w:tcPr>
          <w:p w14:paraId="0CB51DCB" w14:textId="77777777" w:rsidR="003A607B" w:rsidRPr="00377F9F" w:rsidRDefault="003A607B" w:rsidP="007C0128">
            <w:pPr>
              <w:pStyle w:val="TableBlock"/>
              <w:rPr>
                <w:rtl/>
              </w:rPr>
            </w:pPr>
            <w:r w:rsidRPr="00377F9F">
              <w:rPr>
                <w:rtl/>
              </w:rPr>
              <w:t>(7)</w:t>
            </w:r>
            <w:r w:rsidRPr="00377F9F">
              <w:rPr>
                <w:rtl/>
              </w:rPr>
              <w:tab/>
              <w:t>שכר הרופאים והיועצים המתמנים לוועדות הערר;</w:t>
            </w:r>
          </w:p>
        </w:tc>
      </w:tr>
      <w:tr w:rsidR="003A607B" w:rsidRPr="00377F9F" w14:paraId="1E35907E" w14:textId="77777777" w:rsidTr="007C0128">
        <w:trPr>
          <w:cantSplit/>
        </w:trPr>
        <w:tc>
          <w:tcPr>
            <w:tcW w:w="1871" w:type="dxa"/>
          </w:tcPr>
          <w:p w14:paraId="34E219C6" w14:textId="77777777" w:rsidR="003A607B" w:rsidRPr="00377F9F" w:rsidRDefault="003A607B" w:rsidP="007C0128">
            <w:pPr>
              <w:pStyle w:val="TableSideHeading"/>
            </w:pPr>
          </w:p>
        </w:tc>
        <w:tc>
          <w:tcPr>
            <w:tcW w:w="624" w:type="dxa"/>
          </w:tcPr>
          <w:p w14:paraId="6103A1A9" w14:textId="77777777" w:rsidR="003A607B" w:rsidRPr="00377F9F" w:rsidRDefault="003A607B" w:rsidP="007C0128">
            <w:pPr>
              <w:pStyle w:val="TableText"/>
            </w:pPr>
          </w:p>
        </w:tc>
        <w:tc>
          <w:tcPr>
            <w:tcW w:w="7143" w:type="dxa"/>
          </w:tcPr>
          <w:p w14:paraId="635DBD57" w14:textId="77777777" w:rsidR="003A607B" w:rsidRPr="00377F9F" w:rsidRDefault="003A607B" w:rsidP="007C0128">
            <w:pPr>
              <w:pStyle w:val="TableBlock"/>
              <w:rPr>
                <w:rtl/>
              </w:rPr>
            </w:pPr>
            <w:r w:rsidRPr="00377F9F">
              <w:rPr>
                <w:rtl/>
              </w:rPr>
              <w:t>(8)</w:t>
            </w:r>
            <w:r w:rsidRPr="00377F9F">
              <w:rPr>
                <w:rtl/>
              </w:rPr>
              <w:tab/>
              <w:t>תקופת עבודתם של רופאי ועדות הערר והשתלמויות והדרכות שיעברו;</w:t>
            </w:r>
          </w:p>
        </w:tc>
      </w:tr>
      <w:tr w:rsidR="003A607B" w:rsidRPr="00377F9F" w14:paraId="32BB43B2" w14:textId="77777777" w:rsidTr="007C0128">
        <w:trPr>
          <w:cantSplit/>
        </w:trPr>
        <w:tc>
          <w:tcPr>
            <w:tcW w:w="1871" w:type="dxa"/>
          </w:tcPr>
          <w:p w14:paraId="07F4FC1B" w14:textId="77777777" w:rsidR="003A607B" w:rsidRPr="00377F9F" w:rsidRDefault="003A607B" w:rsidP="007C0128">
            <w:pPr>
              <w:pStyle w:val="TableSideHeading"/>
            </w:pPr>
          </w:p>
        </w:tc>
        <w:tc>
          <w:tcPr>
            <w:tcW w:w="624" w:type="dxa"/>
          </w:tcPr>
          <w:p w14:paraId="5C78527A" w14:textId="77777777" w:rsidR="003A607B" w:rsidRPr="00377F9F" w:rsidRDefault="003A607B" w:rsidP="007C0128">
            <w:pPr>
              <w:pStyle w:val="TableText"/>
            </w:pPr>
          </w:p>
        </w:tc>
        <w:tc>
          <w:tcPr>
            <w:tcW w:w="7143" w:type="dxa"/>
          </w:tcPr>
          <w:p w14:paraId="0F00F4C8" w14:textId="77777777" w:rsidR="003A607B" w:rsidRPr="00377F9F" w:rsidRDefault="003A607B" w:rsidP="007C0128">
            <w:pPr>
              <w:pStyle w:val="TableBlock"/>
              <w:rPr>
                <w:rtl/>
              </w:rPr>
            </w:pPr>
            <w:r w:rsidRPr="00377F9F">
              <w:rPr>
                <w:rtl/>
              </w:rPr>
              <w:t>(9)</w:t>
            </w:r>
            <w:r w:rsidRPr="00377F9F">
              <w:rPr>
                <w:rtl/>
              </w:rPr>
              <w:tab/>
              <w:t>אופן הגשת תלונות על התנהלות הוועדות ובדיקתן;</w:t>
            </w:r>
          </w:p>
        </w:tc>
      </w:tr>
      <w:tr w:rsidR="003A607B" w:rsidRPr="00377F9F" w14:paraId="6172C133" w14:textId="77777777" w:rsidTr="007C0128">
        <w:trPr>
          <w:cantSplit/>
        </w:trPr>
        <w:tc>
          <w:tcPr>
            <w:tcW w:w="1871" w:type="dxa"/>
          </w:tcPr>
          <w:p w14:paraId="5520CF7E" w14:textId="77777777" w:rsidR="003A607B" w:rsidRPr="00377F9F" w:rsidRDefault="003A607B" w:rsidP="007C0128">
            <w:pPr>
              <w:pStyle w:val="TableSideHeading"/>
            </w:pPr>
          </w:p>
        </w:tc>
        <w:tc>
          <w:tcPr>
            <w:tcW w:w="624" w:type="dxa"/>
          </w:tcPr>
          <w:p w14:paraId="66C4E7B8" w14:textId="77777777" w:rsidR="003A607B" w:rsidRPr="00377F9F" w:rsidRDefault="003A607B" w:rsidP="007C0128">
            <w:pPr>
              <w:pStyle w:val="TableText"/>
            </w:pPr>
          </w:p>
        </w:tc>
        <w:tc>
          <w:tcPr>
            <w:tcW w:w="7143" w:type="dxa"/>
          </w:tcPr>
          <w:p w14:paraId="2AFA5A9B" w14:textId="77777777" w:rsidR="003A607B" w:rsidRPr="00377F9F" w:rsidRDefault="003A607B" w:rsidP="007C0128">
            <w:pPr>
              <w:pStyle w:val="TableBlock"/>
              <w:rPr>
                <w:rtl/>
              </w:rPr>
            </w:pPr>
            <w:r w:rsidRPr="00377F9F">
              <w:rPr>
                <w:rtl/>
              </w:rPr>
              <w:t>(10)</w:t>
            </w:r>
            <w:r w:rsidRPr="00377F9F">
              <w:rPr>
                <w:rtl/>
              </w:rPr>
              <w:tab/>
              <w:t>דרכי ההתקשרות עם יועצים, אופן קבלת המידע ואופן שמירתו.</w:t>
            </w:r>
          </w:p>
        </w:tc>
      </w:tr>
      <w:tr w:rsidR="003A607B" w:rsidRPr="00377F9F" w14:paraId="0F09D75F" w14:textId="77777777" w:rsidTr="007C0128">
        <w:trPr>
          <w:cantSplit/>
        </w:trPr>
        <w:tc>
          <w:tcPr>
            <w:tcW w:w="1871" w:type="dxa"/>
          </w:tcPr>
          <w:p w14:paraId="0A6ABA04" w14:textId="77777777" w:rsidR="003A607B" w:rsidRPr="00377F9F" w:rsidRDefault="003A607B" w:rsidP="007C0128">
            <w:pPr>
              <w:pStyle w:val="TableSideHeading"/>
              <w:keepLines w:val="0"/>
            </w:pPr>
            <w:r w:rsidRPr="00377F9F">
              <w:rPr>
                <w:rtl/>
              </w:rPr>
              <w:t>תקציב הרשות</w:t>
            </w:r>
          </w:p>
        </w:tc>
        <w:tc>
          <w:tcPr>
            <w:tcW w:w="624" w:type="dxa"/>
          </w:tcPr>
          <w:p w14:paraId="3B6EE1ED" w14:textId="77777777" w:rsidR="003A607B" w:rsidRPr="00377F9F" w:rsidRDefault="003A607B" w:rsidP="007C0128">
            <w:pPr>
              <w:pStyle w:val="TableText"/>
              <w:keepLines w:val="0"/>
            </w:pPr>
            <w:r w:rsidRPr="00377F9F">
              <w:rPr>
                <w:rtl/>
              </w:rPr>
              <w:t>26.</w:t>
            </w:r>
          </w:p>
        </w:tc>
        <w:tc>
          <w:tcPr>
            <w:tcW w:w="7143" w:type="dxa"/>
          </w:tcPr>
          <w:p w14:paraId="27DE1CF6" w14:textId="77777777" w:rsidR="003A607B" w:rsidRPr="00377F9F" w:rsidRDefault="003A607B" w:rsidP="007C0128">
            <w:pPr>
              <w:pStyle w:val="TableBlock"/>
            </w:pPr>
            <w:r w:rsidRPr="00377F9F">
              <w:rPr>
                <w:rtl/>
              </w:rPr>
              <w:t>משרד הבריאות ומשרד הרווחה והשירותים החברתיים ישאו שווה בשווה בהוצאות המינהליות הדרושות לקיום הרשות ופעילותה במסגרת סעיף תקציב נפרד, כמשמעותו בחוק יסודות התקציב, התשמ"ה–1985</w:t>
            </w:r>
            <w:r w:rsidRPr="00377F9F">
              <w:rPr>
                <w:rStyle w:val="a6"/>
                <w:rtl/>
              </w:rPr>
              <w:footnoteReference w:id="4"/>
            </w:r>
            <w:r w:rsidRPr="00377F9F">
              <w:rPr>
                <w:rtl/>
              </w:rPr>
              <w:t>, בהתאם לסכומים וכללים שיקבעו השר, שר המשפטים, שר האוצר ושר הרווחה והשירותים החברתיים.</w:t>
            </w:r>
          </w:p>
        </w:tc>
      </w:tr>
      <w:tr w:rsidR="003A607B" w:rsidRPr="00377F9F" w14:paraId="43AC33D1" w14:textId="77777777" w:rsidTr="007C0128">
        <w:trPr>
          <w:cantSplit/>
        </w:trPr>
        <w:tc>
          <w:tcPr>
            <w:tcW w:w="1871" w:type="dxa"/>
          </w:tcPr>
          <w:p w14:paraId="07980E5D" w14:textId="77777777" w:rsidR="003A607B" w:rsidRPr="00377F9F" w:rsidRDefault="003A607B" w:rsidP="007C0128">
            <w:pPr>
              <w:pStyle w:val="TableSideHeading"/>
              <w:ind w:right="0"/>
            </w:pPr>
            <w:r w:rsidRPr="00377F9F">
              <w:rPr>
                <w:rtl/>
              </w:rPr>
              <w:lastRenderedPageBreak/>
              <w:t>תחילה</w:t>
            </w:r>
          </w:p>
        </w:tc>
        <w:tc>
          <w:tcPr>
            <w:tcW w:w="624" w:type="dxa"/>
          </w:tcPr>
          <w:p w14:paraId="6F6BB7C2" w14:textId="77777777" w:rsidR="003A607B" w:rsidRPr="00377F9F" w:rsidRDefault="003A607B" w:rsidP="007C0128">
            <w:pPr>
              <w:pStyle w:val="TableText"/>
              <w:keepLines w:val="0"/>
            </w:pPr>
            <w:r w:rsidRPr="00377F9F">
              <w:rPr>
                <w:rtl/>
              </w:rPr>
              <w:t>27.</w:t>
            </w:r>
          </w:p>
        </w:tc>
        <w:tc>
          <w:tcPr>
            <w:tcW w:w="7143" w:type="dxa"/>
          </w:tcPr>
          <w:p w14:paraId="1275939A" w14:textId="77777777" w:rsidR="003A607B" w:rsidRPr="00377F9F" w:rsidRDefault="003A607B" w:rsidP="007C0128">
            <w:pPr>
              <w:pStyle w:val="TableBlock"/>
            </w:pPr>
            <w:r w:rsidRPr="00377F9F">
              <w:rPr>
                <w:rtl/>
              </w:rPr>
              <w:t>תחילתו של חוק זה ביום _______</w:t>
            </w:r>
            <w:r w:rsidRPr="00377F9F">
              <w:rPr>
                <w:rStyle w:val="a6"/>
                <w:rFonts w:ascii="Symbol" w:hAnsi="Symbol" w:hint="eastAsia"/>
              </w:rPr>
              <w:footnoteReference w:customMarkFollows="1" w:id="5"/>
              <w:sym w:font="Symbol" w:char="F02A"/>
            </w:r>
            <w:r w:rsidRPr="00377F9F">
              <w:rPr>
                <w:rtl/>
              </w:rPr>
              <w:t>.</w:t>
            </w:r>
          </w:p>
        </w:tc>
      </w:tr>
      <w:tr w:rsidR="003A607B" w:rsidRPr="00377F9F" w14:paraId="27503B70" w14:textId="77777777" w:rsidTr="007C0128">
        <w:trPr>
          <w:cantSplit/>
        </w:trPr>
        <w:tc>
          <w:tcPr>
            <w:tcW w:w="1871" w:type="dxa"/>
          </w:tcPr>
          <w:p w14:paraId="404CAD98" w14:textId="77777777" w:rsidR="003A607B" w:rsidRPr="00377F9F" w:rsidRDefault="003A607B" w:rsidP="007C0128">
            <w:pPr>
              <w:pStyle w:val="TableSideHeading"/>
              <w:keepLines w:val="0"/>
            </w:pPr>
            <w:r w:rsidRPr="00377F9F">
              <w:rPr>
                <w:rtl/>
              </w:rPr>
              <w:t>הוראת מעבר</w:t>
            </w:r>
          </w:p>
        </w:tc>
        <w:tc>
          <w:tcPr>
            <w:tcW w:w="624" w:type="dxa"/>
          </w:tcPr>
          <w:p w14:paraId="58AC83CC" w14:textId="77777777" w:rsidR="003A607B" w:rsidRPr="00377F9F" w:rsidDel="00E419F9" w:rsidRDefault="003A607B" w:rsidP="007C0128">
            <w:pPr>
              <w:pStyle w:val="TableText"/>
              <w:rPr>
                <w:rtl/>
              </w:rPr>
            </w:pPr>
            <w:r w:rsidRPr="00377F9F">
              <w:rPr>
                <w:rtl/>
              </w:rPr>
              <w:t>28.</w:t>
            </w:r>
          </w:p>
        </w:tc>
        <w:tc>
          <w:tcPr>
            <w:tcW w:w="7143" w:type="dxa"/>
          </w:tcPr>
          <w:p w14:paraId="6D49124E" w14:textId="77777777" w:rsidR="003A607B" w:rsidRPr="00377F9F" w:rsidRDefault="003A607B" w:rsidP="007C0128">
            <w:pPr>
              <w:pStyle w:val="TableBlock"/>
              <w:rPr>
                <w:rtl/>
              </w:rPr>
            </w:pPr>
            <w:r w:rsidRPr="00377F9F">
              <w:rPr>
                <w:rtl/>
              </w:rPr>
              <w:t>העברת ועדות הערר הרפואיות הפועלות ערב תחילתו של חוק זה מכוח החוקים המנויים בתוספת, לניהולה של הרשות, תושלם בתוך 12 חודשים מיום תחילתו של חוק זה.</w:t>
            </w:r>
          </w:p>
        </w:tc>
      </w:tr>
      <w:tr w:rsidR="003A607B" w:rsidRPr="00377F9F" w14:paraId="59780811" w14:textId="77777777" w:rsidTr="007C0128">
        <w:trPr>
          <w:cantSplit/>
        </w:trPr>
        <w:tc>
          <w:tcPr>
            <w:tcW w:w="1871" w:type="dxa"/>
          </w:tcPr>
          <w:p w14:paraId="4C051054" w14:textId="77777777" w:rsidR="003A607B" w:rsidRPr="00377F9F" w:rsidRDefault="003A607B" w:rsidP="007C0128">
            <w:pPr>
              <w:pStyle w:val="TableSideHeading"/>
            </w:pPr>
          </w:p>
        </w:tc>
        <w:tc>
          <w:tcPr>
            <w:tcW w:w="624" w:type="dxa"/>
          </w:tcPr>
          <w:p w14:paraId="79503BC8" w14:textId="77777777" w:rsidR="003A607B" w:rsidRPr="00377F9F" w:rsidRDefault="003A607B" w:rsidP="007C0128">
            <w:pPr>
              <w:pStyle w:val="TableText"/>
            </w:pPr>
          </w:p>
        </w:tc>
        <w:tc>
          <w:tcPr>
            <w:tcW w:w="7143" w:type="dxa"/>
          </w:tcPr>
          <w:p w14:paraId="16125C9F" w14:textId="77777777" w:rsidR="003A607B" w:rsidRPr="00377F9F" w:rsidRDefault="003A607B" w:rsidP="007C0128">
            <w:pPr>
              <w:pStyle w:val="TableHead"/>
            </w:pPr>
            <w:r w:rsidRPr="00377F9F">
              <w:rPr>
                <w:rtl/>
              </w:rPr>
              <w:t>תוספת</w:t>
            </w:r>
          </w:p>
        </w:tc>
      </w:tr>
      <w:tr w:rsidR="003A607B" w:rsidRPr="00377F9F" w14:paraId="5EEC2EF3" w14:textId="77777777" w:rsidTr="007C0128">
        <w:trPr>
          <w:cantSplit/>
        </w:trPr>
        <w:tc>
          <w:tcPr>
            <w:tcW w:w="1871" w:type="dxa"/>
          </w:tcPr>
          <w:p w14:paraId="6CDA58E1" w14:textId="77777777" w:rsidR="003A607B" w:rsidRPr="00377F9F" w:rsidRDefault="003A607B" w:rsidP="007C0128">
            <w:pPr>
              <w:pStyle w:val="TableSideHeading"/>
              <w:keepLines w:val="0"/>
            </w:pPr>
          </w:p>
        </w:tc>
        <w:tc>
          <w:tcPr>
            <w:tcW w:w="624" w:type="dxa"/>
          </w:tcPr>
          <w:p w14:paraId="0F908E60" w14:textId="77777777" w:rsidR="003A607B" w:rsidRPr="00377F9F" w:rsidRDefault="003A607B" w:rsidP="007C0128">
            <w:pPr>
              <w:pStyle w:val="TableText"/>
              <w:keepLines w:val="0"/>
            </w:pPr>
          </w:p>
        </w:tc>
        <w:tc>
          <w:tcPr>
            <w:tcW w:w="7143" w:type="dxa"/>
          </w:tcPr>
          <w:p w14:paraId="37B2BC3D" w14:textId="77777777" w:rsidR="003A607B" w:rsidRPr="00377F9F" w:rsidRDefault="003A607B" w:rsidP="007C0128">
            <w:pPr>
              <w:pStyle w:val="TableBlock"/>
            </w:pPr>
            <w:r>
              <w:rPr>
                <w:rFonts w:hint="cs"/>
                <w:rtl/>
              </w:rPr>
              <w:t>1.</w:t>
            </w:r>
            <w:r>
              <w:rPr>
                <w:rtl/>
              </w:rPr>
              <w:tab/>
            </w:r>
            <w:r w:rsidRPr="00377F9F">
              <w:rPr>
                <w:rtl/>
              </w:rPr>
              <w:t>חוק הביטוח  הלאומי [נוסח משולב], התשנ"ה–1995</w:t>
            </w:r>
            <w:r w:rsidRPr="00377F9F">
              <w:rPr>
                <w:rStyle w:val="a6"/>
                <w:rtl/>
              </w:rPr>
              <w:footnoteReference w:id="6"/>
            </w:r>
            <w:r w:rsidRPr="00377F9F">
              <w:rPr>
                <w:rtl/>
              </w:rPr>
              <w:t>;</w:t>
            </w:r>
          </w:p>
        </w:tc>
      </w:tr>
      <w:tr w:rsidR="003A607B" w:rsidRPr="00377F9F" w14:paraId="1833047E" w14:textId="77777777" w:rsidTr="007C0128">
        <w:trPr>
          <w:cantSplit/>
        </w:trPr>
        <w:tc>
          <w:tcPr>
            <w:tcW w:w="1871" w:type="dxa"/>
          </w:tcPr>
          <w:p w14:paraId="25D2025C" w14:textId="77777777" w:rsidR="003A607B" w:rsidRPr="00377F9F" w:rsidRDefault="003A607B" w:rsidP="007C0128">
            <w:pPr>
              <w:pStyle w:val="TableSideHeading"/>
              <w:keepLines w:val="0"/>
            </w:pPr>
          </w:p>
        </w:tc>
        <w:tc>
          <w:tcPr>
            <w:tcW w:w="624" w:type="dxa"/>
          </w:tcPr>
          <w:p w14:paraId="04B15459" w14:textId="77777777" w:rsidR="003A607B" w:rsidRPr="00377F9F" w:rsidRDefault="003A607B" w:rsidP="007C0128">
            <w:pPr>
              <w:pStyle w:val="TableText"/>
              <w:keepLines w:val="0"/>
            </w:pPr>
          </w:p>
        </w:tc>
        <w:tc>
          <w:tcPr>
            <w:tcW w:w="7143" w:type="dxa"/>
          </w:tcPr>
          <w:p w14:paraId="21FD9467" w14:textId="77777777" w:rsidR="003A607B" w:rsidRPr="00377F9F" w:rsidRDefault="003A607B" w:rsidP="007C0128">
            <w:pPr>
              <w:pStyle w:val="TableBlock"/>
            </w:pPr>
            <w:r>
              <w:rPr>
                <w:rFonts w:hint="cs"/>
                <w:rtl/>
              </w:rPr>
              <w:t xml:space="preserve">2. </w:t>
            </w:r>
            <w:r>
              <w:rPr>
                <w:rtl/>
              </w:rPr>
              <w:tab/>
            </w:r>
            <w:r w:rsidRPr="00377F9F">
              <w:rPr>
                <w:rtl/>
              </w:rPr>
              <w:t>חוק הנכים (תגמולים ושיקום), התשי"ט–1959 [נוסח משולב]</w:t>
            </w:r>
            <w:r w:rsidRPr="00377F9F">
              <w:rPr>
                <w:rStyle w:val="a6"/>
                <w:rtl/>
              </w:rPr>
              <w:footnoteReference w:id="7"/>
            </w:r>
            <w:r w:rsidRPr="00377F9F">
              <w:rPr>
                <w:rtl/>
              </w:rPr>
              <w:t>.</w:t>
            </w:r>
          </w:p>
        </w:tc>
      </w:tr>
    </w:tbl>
    <w:p w14:paraId="7F6961CA" w14:textId="77777777" w:rsidR="002D1EE3" w:rsidRDefault="002D1EE3" w:rsidP="002D1EE3">
      <w:pPr>
        <w:pStyle w:val="HeadDivreiHesber"/>
        <w:rPr>
          <w:rtl/>
        </w:rPr>
      </w:pPr>
      <w:r w:rsidRPr="0027450A">
        <w:rPr>
          <w:rFonts w:hint="cs"/>
          <w:rtl/>
        </w:rPr>
        <w:t>דברי הסבר</w:t>
      </w:r>
    </w:p>
    <w:p w14:paraId="64EFCAF0" w14:textId="30D2C496" w:rsidR="005756DD" w:rsidRDefault="005756DD" w:rsidP="003A607B">
      <w:pPr>
        <w:pStyle w:val="Hesber"/>
        <w:rPr>
          <w:rtl/>
        </w:rPr>
      </w:pPr>
      <w:r>
        <w:rPr>
          <w:rtl/>
        </w:rPr>
        <w:t>מזה שנים רבות אנו עדים לטענות קשות ב</w:t>
      </w:r>
      <w:r>
        <w:rPr>
          <w:rFonts w:hint="cs"/>
          <w:rtl/>
        </w:rPr>
        <w:t>נוגע</w:t>
      </w:r>
      <w:r>
        <w:rPr>
          <w:rtl/>
        </w:rPr>
        <w:t xml:space="preserve"> לניגוד עניינים מובנה באופן פעילותן של הוועדות הרפואיות מטעם המוסד לביטוח לאומי, משרד הביטחון ועוד. במצב ה</w:t>
      </w:r>
      <w:r>
        <w:rPr>
          <w:rFonts w:hint="cs"/>
          <w:rtl/>
        </w:rPr>
        <w:t>קיים</w:t>
      </w:r>
      <w:r>
        <w:rPr>
          <w:rtl/>
        </w:rPr>
        <w:t xml:space="preserve"> היום פועלות ועדות הערר הרפואיות, האמורות להכריע בחילוקי דעות בין הנכים לרשויות</w:t>
      </w:r>
      <w:r>
        <w:rPr>
          <w:rFonts w:hint="cs"/>
          <w:rtl/>
        </w:rPr>
        <w:t>,</w:t>
      </w:r>
      <w:r>
        <w:rPr>
          <w:rtl/>
        </w:rPr>
        <w:t xml:space="preserve"> בתוך המסגרות הפעילות של הרשויות, הרופאים בוועדות מתמנים על ידי הרשויות ואף מקבלים את שכרם מהן. בתי המשפט מתחו, לא אחת, ביקורת חריפה על המצב הקיים ודרבנו את המחוקק לתקנו. אולם מלבד הקמתן של ועדות רבות בנושא, ולמרות המלצותיה</w:t>
      </w:r>
      <w:r>
        <w:rPr>
          <w:rFonts w:hint="cs"/>
          <w:rtl/>
        </w:rPr>
        <w:t>ם</w:t>
      </w:r>
      <w:r>
        <w:rPr>
          <w:rtl/>
        </w:rPr>
        <w:t xml:space="preserve"> הברורות והחד משמעיות – דבר לא השתנה.</w:t>
      </w:r>
    </w:p>
    <w:p w14:paraId="5E493EDD" w14:textId="77777777" w:rsidR="005756DD" w:rsidRPr="00FF38E7" w:rsidRDefault="005756DD" w:rsidP="005756DD">
      <w:pPr>
        <w:pStyle w:val="Hesber"/>
        <w:rPr>
          <w:rtl/>
        </w:rPr>
      </w:pPr>
      <w:r>
        <w:rPr>
          <w:rtl/>
        </w:rPr>
        <w:t xml:space="preserve">בשנת 2001 הוקמה </w:t>
      </w:r>
      <w:r w:rsidRPr="00FF38E7">
        <w:rPr>
          <w:rtl/>
        </w:rPr>
        <w:t xml:space="preserve">ועדת גולדברג (בראשות כב' השופט בדימוס מנחם גולדברג)  על ידי ועדת העבודה הרווחה והבריאות של הכנסת אשר המליצה, בין היתר, להוציא את הוועדות הרפואיות מתחום אחריותו של המוסד לביטוח לאומי, למנות רשות מרכזית של ועדות רפואיות, להעביר את הסמכות למנות את רופאי הוועדות משר הרווחה </w:t>
      </w:r>
      <w:r>
        <w:rPr>
          <w:rFonts w:hint="cs"/>
          <w:rtl/>
        </w:rPr>
        <w:t xml:space="preserve">והשירותים החברתיים </w:t>
      </w:r>
      <w:r w:rsidRPr="00FF38E7">
        <w:rPr>
          <w:rtl/>
        </w:rPr>
        <w:t>לשר הבריאות, למנות רופא רשות ועוד.</w:t>
      </w:r>
    </w:p>
    <w:p w14:paraId="3AFD90C8" w14:textId="77777777" w:rsidR="005756DD" w:rsidRDefault="005756DD" w:rsidP="005756DD">
      <w:pPr>
        <w:pStyle w:val="Hesber"/>
        <w:rPr>
          <w:rtl/>
        </w:rPr>
      </w:pPr>
      <w:r>
        <w:rPr>
          <w:rtl/>
        </w:rPr>
        <w:t>בעקבות המלצות ועדת גולדברג הוקמה, בהוראת ועדת העבודה הרווחה והבריאות של הכנסת, ועדת היגוי בראשות הפרופסור אשר אור-נוי כדי להמליץ על הדרכים ליישום מסקנות ועדת גולדברג. ההמלצות העיקריות של ועד</w:t>
      </w:r>
      <w:r>
        <w:rPr>
          <w:rFonts w:hint="cs"/>
          <w:rtl/>
        </w:rPr>
        <w:t>ת</w:t>
      </w:r>
      <w:r>
        <w:rPr>
          <w:rtl/>
        </w:rPr>
        <w:t xml:space="preserve"> אור-נוי היו להוציא את ועדות הערר מידי המוסד לביטוח לאומי (כצעד ביניים לפני הוצאת כל הוועדות הרפואיות) </w:t>
      </w:r>
      <w:r>
        <w:rPr>
          <w:rFonts w:hint="cs"/>
          <w:rtl/>
        </w:rPr>
        <w:t>ו</w:t>
      </w:r>
      <w:r>
        <w:rPr>
          <w:rtl/>
        </w:rPr>
        <w:t>להקים רשות נפרדת לניהול הוועדות הרפואיות אשר תהיה כפופה לשר הבריאות.</w:t>
      </w:r>
    </w:p>
    <w:p w14:paraId="2CA82319" w14:textId="77777777" w:rsidR="005756DD" w:rsidRDefault="005756DD" w:rsidP="005756DD">
      <w:pPr>
        <w:pStyle w:val="Hesber"/>
        <w:rPr>
          <w:rtl/>
        </w:rPr>
      </w:pPr>
      <w:r>
        <w:rPr>
          <w:rtl/>
        </w:rPr>
        <w:t xml:space="preserve">נוכח </w:t>
      </w:r>
      <w:r>
        <w:rPr>
          <w:rFonts w:hint="cs"/>
          <w:rtl/>
        </w:rPr>
        <w:t>כל האמור לעיל</w:t>
      </w:r>
      <w:r>
        <w:rPr>
          <w:rtl/>
        </w:rPr>
        <w:t xml:space="preserve"> ובשל תלונות </w:t>
      </w:r>
      <w:r>
        <w:rPr>
          <w:rFonts w:hint="cs"/>
          <w:rtl/>
        </w:rPr>
        <w:t xml:space="preserve">רבות של </w:t>
      </w:r>
      <w:r>
        <w:rPr>
          <w:rtl/>
        </w:rPr>
        <w:t>הציבור ביחס לפעילותן של הוועדות הרפואית של המוסד לביטוח לאומי</w:t>
      </w:r>
      <w:r>
        <w:rPr>
          <w:rFonts w:hint="cs"/>
          <w:rtl/>
        </w:rPr>
        <w:t>,</w:t>
      </w:r>
      <w:r>
        <w:rPr>
          <w:rtl/>
        </w:rPr>
        <w:t xml:space="preserve"> יזמה הועדה לפניות הציבור של הכנסת דיון בנושא (ביום 12.12.2006). לצורך הדיון </w:t>
      </w:r>
      <w:r>
        <w:rPr>
          <w:rFonts w:hint="cs"/>
          <w:rtl/>
        </w:rPr>
        <w:t>הוכן</w:t>
      </w:r>
      <w:r>
        <w:rPr>
          <w:rtl/>
        </w:rPr>
        <w:t xml:space="preserve"> מסמך מסכם בנושא שריכז את הפעילות שנעשתה עד אותו יום לצורך שינוי החוק, כולל סקירה של המלצות הוועדות השונות.</w:t>
      </w:r>
    </w:p>
    <w:p w14:paraId="495732C6" w14:textId="77777777" w:rsidR="005756DD" w:rsidRDefault="005756DD" w:rsidP="005756DD">
      <w:pPr>
        <w:pStyle w:val="Hesber"/>
        <w:rPr>
          <w:rtl/>
        </w:rPr>
      </w:pPr>
      <w:r>
        <w:rPr>
          <w:rtl/>
        </w:rPr>
        <w:t>מאז ועד היום נתקיימו דיונים בוועדת העבודה הרווחה והבריאות של הכנסת שמטרתם הוצאת הוועדות הרפואיות מן הביטוח הלאומי, ואף הוגשו הצעות חוק בנושא. למרבה הצער, ההצעות הללו לא השתכללו לכדי דבר חקיקה</w:t>
      </w:r>
      <w:r>
        <w:rPr>
          <w:rFonts w:hint="cs"/>
          <w:rtl/>
        </w:rPr>
        <w:t xml:space="preserve">. </w:t>
      </w:r>
      <w:r>
        <w:rPr>
          <w:rtl/>
        </w:rPr>
        <w:t>הגיע</w:t>
      </w:r>
      <w:r>
        <w:rPr>
          <w:rFonts w:hint="cs"/>
          <w:rtl/>
        </w:rPr>
        <w:t>ה</w:t>
      </w:r>
      <w:r>
        <w:rPr>
          <w:rtl/>
        </w:rPr>
        <w:t xml:space="preserve"> </w:t>
      </w:r>
      <w:r>
        <w:rPr>
          <w:rFonts w:hint="cs"/>
          <w:rtl/>
        </w:rPr>
        <w:t>ה</w:t>
      </w:r>
      <w:r>
        <w:rPr>
          <w:rtl/>
        </w:rPr>
        <w:t>עת שהמחוקק יאמר את דברו בנושא.</w:t>
      </w:r>
    </w:p>
    <w:p w14:paraId="3143B4B7" w14:textId="3E65A9A1" w:rsidR="005756DD" w:rsidRDefault="005756DD" w:rsidP="005756DD">
      <w:pPr>
        <w:pStyle w:val="Hesber"/>
        <w:rPr>
          <w:rtl/>
        </w:rPr>
      </w:pPr>
      <w:r>
        <w:rPr>
          <w:rFonts w:hint="cs"/>
          <w:rtl/>
        </w:rPr>
        <w:t xml:space="preserve">הצעות חוק דומות בעיקרן הונחו על שולחן הכנסת השבע-עשרה על ידי חבר הכנסת זבולון אורלב </w:t>
      </w:r>
      <w:r>
        <w:rPr>
          <w:rFonts w:hint="cs"/>
          <w:rtl/>
        </w:rPr>
        <w:lastRenderedPageBreak/>
        <w:t xml:space="preserve">(פ/862/17) ועל ידי חבר הכנסת דוד טל (פ/103/17), על שולחן הכנסת השמונה-עשרה על ידי חברת הכנסת סופה לנדבר וקבוצת חברי הכנסת (פ/88/18), על ידי חבר הכנסת </w:t>
      </w:r>
      <w:r w:rsidRPr="00E94FCE">
        <w:rPr>
          <w:rFonts w:hint="cs"/>
          <w:rtl/>
        </w:rPr>
        <w:t xml:space="preserve">זבולון אורלב </w:t>
      </w:r>
      <w:r>
        <w:rPr>
          <w:rFonts w:hint="cs"/>
          <w:rtl/>
        </w:rPr>
        <w:t xml:space="preserve">(פ/748/18) ועל ידי חבר הכנסת </w:t>
      </w:r>
      <w:r w:rsidRPr="00E94FCE">
        <w:rPr>
          <w:rFonts w:hint="cs"/>
          <w:rtl/>
        </w:rPr>
        <w:t>אחמד טיבי ו</w:t>
      </w:r>
      <w:r>
        <w:rPr>
          <w:rFonts w:hint="cs"/>
          <w:rtl/>
        </w:rPr>
        <w:t xml:space="preserve">קבוצת חברי הכנסת </w:t>
      </w:r>
      <w:r w:rsidRPr="00E94FCE">
        <w:rPr>
          <w:rFonts w:hint="cs"/>
          <w:rtl/>
        </w:rPr>
        <w:t>(</w:t>
      </w:r>
      <w:r w:rsidR="00F65738">
        <w:rPr>
          <w:rFonts w:hint="cs"/>
          <w:rtl/>
        </w:rPr>
        <w:t xml:space="preserve">פ/2998/18), </w:t>
      </w:r>
      <w:r>
        <w:rPr>
          <w:rFonts w:hint="cs"/>
          <w:rtl/>
        </w:rPr>
        <w:t xml:space="preserve">על שולחן הכנסת התשע-עשרה על ידי </w:t>
      </w:r>
      <w:r w:rsidR="00F65738">
        <w:rPr>
          <w:rFonts w:hint="cs"/>
          <w:rtl/>
        </w:rPr>
        <w:t>חבר הכנסת אחמד טיבי (פ/1603/19) ועל שולחן הכנסת העשרים על ידי חברי הכנסת אחמד טיבי ואוסאמה סעדי (פ/1096/20), על ידי חברת הכנסת סופה לנדבר וקבוצת חברי הכנסת (פ/2647/20) ועל ידי חבר הכנסת מיקי רוזנטל (פ/3901/20).</w:t>
      </w:r>
      <w:r>
        <w:rPr>
          <w:rFonts w:hint="cs"/>
          <w:rtl/>
        </w:rPr>
        <w:t xml:space="preserve"> </w:t>
      </w:r>
    </w:p>
    <w:p w14:paraId="0D78A1B5" w14:textId="55B8019E" w:rsidR="005756DD" w:rsidRDefault="005756DD" w:rsidP="005756DD">
      <w:pPr>
        <w:pStyle w:val="Hesber"/>
        <w:rPr>
          <w:rtl/>
        </w:rPr>
      </w:pPr>
      <w:r>
        <w:rPr>
          <w:rFonts w:hint="cs"/>
          <w:rtl/>
        </w:rPr>
        <w:t>הצע</w:t>
      </w:r>
      <w:r w:rsidR="003A607B">
        <w:rPr>
          <w:rFonts w:hint="cs"/>
          <w:rtl/>
        </w:rPr>
        <w:t>ות חוק זהות הונחו</w:t>
      </w:r>
      <w:r>
        <w:rPr>
          <w:rFonts w:hint="cs"/>
          <w:rtl/>
        </w:rPr>
        <w:t xml:space="preserve"> על שולחן הכנסת התשע-עשרה על ידי חברות הכנסת עדי קול, קארין אלהרר</w:t>
      </w:r>
      <w:r w:rsidR="003A607B">
        <w:rPr>
          <w:rFonts w:hint="cs"/>
          <w:rtl/>
        </w:rPr>
        <w:t xml:space="preserve"> ואורלי לוי אבקסיס (פ/1965/19) ועל שולחן הכנסת העשרים על ידי חבר הכנסת מאיר כהן וקבוצת חברי הכנסת (פ/1985/20).</w:t>
      </w:r>
    </w:p>
    <w:p w14:paraId="3BDB14F5" w14:textId="3498C766" w:rsidR="00FD2FAC" w:rsidRDefault="00FD2FAC" w:rsidP="005756DD">
      <w:pPr>
        <w:pStyle w:val="Hesber"/>
        <w:rPr>
          <w:rtl/>
        </w:rPr>
      </w:pPr>
    </w:p>
    <w:p w14:paraId="02B3538C" w14:textId="77777777" w:rsidR="00FD2FAC" w:rsidRDefault="00FD2FAC" w:rsidP="005756DD">
      <w:pPr>
        <w:pStyle w:val="Hesber"/>
        <w:rPr>
          <w:rtl/>
        </w:rPr>
      </w:pPr>
    </w:p>
    <w:p w14:paraId="3F42326B" w14:textId="77777777" w:rsidR="00FD2FAC" w:rsidRPr="00D73212" w:rsidRDefault="00FD2FAC" w:rsidP="00FD2FAC">
      <w:pPr>
        <w:pStyle w:val="Hesber"/>
        <w:rPr>
          <w:color w:val="auto"/>
          <w:rtl/>
          <w:lang w:eastAsia="en-US"/>
        </w:rPr>
      </w:pPr>
      <w:r w:rsidRPr="00D73212">
        <w:rPr>
          <w:color w:val="auto"/>
          <w:rtl/>
          <w:lang w:eastAsia="en-US"/>
        </w:rPr>
        <w:t>---------------------------------</w:t>
      </w:r>
    </w:p>
    <w:p w14:paraId="6994F661" w14:textId="77777777" w:rsidR="00FD2FAC" w:rsidRPr="00D73212" w:rsidRDefault="00FD2FAC" w:rsidP="00FD2FAC">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12BCDA55" w14:textId="77777777" w:rsidR="00FD2FAC" w:rsidRPr="00D73212" w:rsidRDefault="00FD2FAC" w:rsidP="00FD2FAC">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624495B5" w14:textId="7210A25A" w:rsidR="00FD2FAC" w:rsidRDefault="00FD2FAC" w:rsidP="00FD2FAC">
      <w:pPr>
        <w:pStyle w:val="Hesber"/>
        <w:rPr>
          <w:rtl/>
        </w:rPr>
      </w:pPr>
      <w:r>
        <w:rPr>
          <w:rFonts w:hint="cs"/>
          <w:color w:val="auto"/>
          <w:rtl/>
          <w:lang w:eastAsia="en-US"/>
        </w:rPr>
        <w:t>ט"ו באייר</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 xml:space="preserve">ט </w:t>
      </w:r>
      <w:r w:rsidRPr="00D73212">
        <w:rPr>
          <w:color w:val="auto"/>
          <w:rtl/>
          <w:lang w:eastAsia="en-US"/>
        </w:rPr>
        <w:t>–</w:t>
      </w:r>
      <w:r>
        <w:rPr>
          <w:rFonts w:hint="cs"/>
          <w:color w:val="auto"/>
          <w:rtl/>
          <w:lang w:eastAsia="en-US"/>
        </w:rPr>
        <w:t xml:space="preserve"> 20.5</w:t>
      </w:r>
      <w:r w:rsidRPr="00D73212">
        <w:rPr>
          <w:color w:val="auto"/>
          <w:rtl/>
          <w:lang w:eastAsia="en-US"/>
        </w:rPr>
        <w:t>.</w:t>
      </w:r>
      <w:r>
        <w:rPr>
          <w:rFonts w:hint="cs"/>
          <w:color w:val="auto"/>
          <w:rtl/>
          <w:lang w:eastAsia="en-US"/>
        </w:rPr>
        <w:t xml:space="preserve">19  </w:t>
      </w:r>
      <w:bookmarkStart w:id="8" w:name="_GoBack"/>
      <w:bookmarkEnd w:id="8"/>
    </w:p>
    <w:p w14:paraId="67E04C55" w14:textId="77777777" w:rsidR="005756DD" w:rsidRDefault="005756DD" w:rsidP="005756DD">
      <w:pPr>
        <w:pStyle w:val="Hesber"/>
        <w:rPr>
          <w:rtl/>
        </w:rPr>
      </w:pPr>
    </w:p>
    <w:p w14:paraId="22DD3FD5" w14:textId="77777777" w:rsidR="005756DD" w:rsidRDefault="005756DD" w:rsidP="005756DD">
      <w:pPr>
        <w:pStyle w:val="Hesber"/>
        <w:rPr>
          <w:rtl/>
        </w:rPr>
      </w:pPr>
    </w:p>
    <w:p w14:paraId="1CE697E3" w14:textId="77777777" w:rsidR="005756DD" w:rsidRDefault="005756DD" w:rsidP="005756DD">
      <w:pPr>
        <w:pStyle w:val="Hesber"/>
        <w:rPr>
          <w:rtl/>
        </w:rPr>
      </w:pPr>
    </w:p>
    <w:p w14:paraId="555D9A35" w14:textId="77777777" w:rsidR="005756DD" w:rsidRDefault="005756DD" w:rsidP="005756DD">
      <w:pPr>
        <w:pStyle w:val="Hesber"/>
        <w:rPr>
          <w:rtl/>
        </w:rPr>
      </w:pPr>
    </w:p>
    <w:p w14:paraId="7F6961CB" w14:textId="77777777" w:rsidR="00E13C27" w:rsidRDefault="00E13C27" w:rsidP="00E13C27">
      <w:pPr>
        <w:pStyle w:val="Hesber"/>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altName w:val="Malgun Gothic Semilight"/>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FD2FAC">
      <w:rPr>
        <w:rStyle w:val="ab"/>
        <w:noProof/>
        <w:rtl/>
      </w:rPr>
      <w:t>5</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78401DC7" w14:textId="77777777" w:rsidR="003A607B" w:rsidRDefault="003A607B" w:rsidP="003A607B">
      <w:pPr>
        <w:pStyle w:val="a4"/>
      </w:pPr>
      <w:r>
        <w:rPr>
          <w:rStyle w:val="a6"/>
        </w:rPr>
        <w:footnoteRef/>
      </w:r>
      <w:r>
        <w:rPr>
          <w:rtl/>
        </w:rPr>
        <w:t xml:space="preserve"> </w:t>
      </w:r>
      <w:r w:rsidRPr="00EC773D">
        <w:rPr>
          <w:rtl/>
        </w:rPr>
        <w:t>ס"ח התשכ"ט, עמ' 70</w:t>
      </w:r>
      <w:r>
        <w:rPr>
          <w:rtl/>
        </w:rPr>
        <w:t>.</w:t>
      </w:r>
    </w:p>
  </w:footnote>
  <w:footnote w:id="3">
    <w:p w14:paraId="4EC34A7C" w14:textId="77777777" w:rsidR="003A607B" w:rsidRDefault="003A607B" w:rsidP="003A607B">
      <w:pPr>
        <w:pStyle w:val="a4"/>
      </w:pPr>
      <w:r>
        <w:rPr>
          <w:rStyle w:val="a6"/>
        </w:rPr>
        <w:footnoteRef/>
      </w:r>
      <w:r>
        <w:rPr>
          <w:rtl/>
        </w:rPr>
        <w:t xml:space="preserve"> </w:t>
      </w:r>
      <w:r w:rsidRPr="00DE1599">
        <w:rPr>
          <w:rtl/>
        </w:rPr>
        <w:t>ס"ח התשי"ח, עמ' 92</w:t>
      </w:r>
      <w:r>
        <w:rPr>
          <w:rtl/>
        </w:rPr>
        <w:t>.</w:t>
      </w:r>
    </w:p>
  </w:footnote>
  <w:footnote w:id="4">
    <w:p w14:paraId="350D662B" w14:textId="77777777" w:rsidR="003A607B" w:rsidRDefault="003A607B" w:rsidP="003A607B">
      <w:pPr>
        <w:pStyle w:val="a4"/>
      </w:pPr>
      <w:r>
        <w:rPr>
          <w:rStyle w:val="a6"/>
        </w:rPr>
        <w:footnoteRef/>
      </w:r>
      <w:r>
        <w:rPr>
          <w:rtl/>
        </w:rPr>
        <w:t xml:space="preserve"> ס"ח התשמ"ה, עמ' 60.</w:t>
      </w:r>
    </w:p>
  </w:footnote>
  <w:footnote w:id="5">
    <w:p w14:paraId="5E154168" w14:textId="77777777" w:rsidR="003A607B" w:rsidRDefault="003A607B" w:rsidP="003A607B">
      <w:pPr>
        <w:pStyle w:val="a4"/>
      </w:pPr>
      <w:r w:rsidRPr="003D5EDE">
        <w:rPr>
          <w:rStyle w:val="a6"/>
          <w:rFonts w:ascii="Symbol" w:hAnsi="Symbol" w:hint="eastAsia"/>
        </w:rPr>
        <w:sym w:font="Symbol" w:char="F02A"/>
      </w:r>
      <w:r>
        <w:rPr>
          <w:rtl/>
        </w:rPr>
        <w:t xml:space="preserve"> המועד ייקבע בעת הכנת הצעת החוק לקריאה הראשונה.</w:t>
      </w:r>
    </w:p>
  </w:footnote>
  <w:footnote w:id="6">
    <w:p w14:paraId="707B1F0D" w14:textId="77777777" w:rsidR="003A607B" w:rsidRDefault="003A607B" w:rsidP="003A607B">
      <w:pPr>
        <w:pStyle w:val="a4"/>
      </w:pPr>
      <w:r>
        <w:rPr>
          <w:rStyle w:val="a6"/>
        </w:rPr>
        <w:footnoteRef/>
      </w:r>
      <w:r>
        <w:rPr>
          <w:rtl/>
        </w:rPr>
        <w:t xml:space="preserve"> </w:t>
      </w:r>
      <w:r w:rsidRPr="00DE1599">
        <w:rPr>
          <w:rtl/>
        </w:rPr>
        <w:t>ס"ח התשנ"ה, עמ' 210</w:t>
      </w:r>
      <w:r>
        <w:rPr>
          <w:rtl/>
        </w:rPr>
        <w:t>.</w:t>
      </w:r>
    </w:p>
  </w:footnote>
  <w:footnote w:id="7">
    <w:p w14:paraId="3E63219F" w14:textId="77777777" w:rsidR="003A607B" w:rsidRDefault="003A607B" w:rsidP="003A607B">
      <w:pPr>
        <w:pStyle w:val="a4"/>
      </w:pPr>
      <w:r>
        <w:rPr>
          <w:rStyle w:val="a6"/>
        </w:rPr>
        <w:footnoteRef/>
      </w:r>
      <w:r>
        <w:rPr>
          <w:rtl/>
        </w:rPr>
        <w:t xml:space="preserve"> </w:t>
      </w:r>
      <w:r w:rsidRPr="00DE1599">
        <w:rPr>
          <w:rtl/>
        </w:rPr>
        <w:t>ס"ח התשי"ט, עמ' 276</w:t>
      </w:r>
      <w:r>
        <w:rPr>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A607B"/>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756DD"/>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5738"/>
    <w:rsid w:val="00F67051"/>
    <w:rsid w:val="00F86A1E"/>
    <w:rsid w:val="00FA5E88"/>
    <w:rsid w:val="00FD2F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34ED9BC0-CBCB-472E-825B-C9AF3359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5756DD"/>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97467741CB98040970A6DBBC195775F" ma:contentTypeVersion="" ma:contentTypeDescription="צור מסמך חדש." ma:contentTypeScope="" ma:versionID="6e55fc6acbead604c2f45a2c1dd20751">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621E-1923-4FC4-8949-F80CD3C21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4AFE3-9455-419C-8851-785A55F445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D2D31815-9270-4DC6-95A4-3C8521FC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1247</Words>
  <Characters>6236</Characters>
  <Application>Microsoft Office Word</Application>
  <DocSecurity>0</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חנה קרליץ</cp:lastModifiedBy>
  <cp:revision>7</cp:revision>
  <cp:lastPrinted>2019-05-19T12:33:00Z</cp:lastPrinted>
  <dcterms:created xsi:type="dcterms:W3CDTF">2015-04-20T09:58:00Z</dcterms:created>
  <dcterms:modified xsi:type="dcterms:W3CDTF">2019-05-19T12:33:00Z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0x010100697467741CB98040970A6DBBC195775F</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2079132</vt:r8>
  </property>
</Properties>
</file>