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2075138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A" w14:textId="27C9D63D" w:rsidR="00E13C27" w:rsidRPr="00CF1AA2" w:rsidRDefault="008F6665" w:rsidP="0035584B">
      <w:pPr>
        <w:pStyle w:val="David"/>
        <w:spacing w:line="360" w:lineRule="auto"/>
        <w:ind w:left="3544"/>
        <w:rPr>
          <w:b/>
          <w:bCs/>
          <w:sz w:val="16"/>
          <w:szCs w:val="16"/>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איציק שמולי</w:t>
      </w:r>
      <w:bookmarkStart w:id="4" w:name="LGS_Join_List"/>
      <w:bookmarkStart w:id="5" w:name="_GoBack"/>
      <w:bookmarkEnd w:id="3"/>
      <w:bookmarkEnd w:id="5"/>
      <w:r w:rsidR="007D585A">
        <w:rPr>
          <w:rtl/>
        </w:rPr>
        <w:t xml:space="preserve"> </w:t>
      </w:r>
      <w:bookmarkEnd w:id="4"/>
      <w:r w:rsidR="002200A1" w:rsidRPr="00CF1AA2">
        <w:rPr>
          <w:rFonts w:hint="cs"/>
          <w:rtl/>
        </w:rPr>
        <w:tab/>
      </w:r>
      <w:bookmarkStart w:id="6" w:name="LGS_PM_NamesJoin"/>
      <w:r w:rsidR="007D585A">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7" w:name="Private_Number"/>
      <w:r>
        <w:rPr>
          <w:rFonts w:hint="cs"/>
          <w:rtl/>
        </w:rPr>
        <w:t>פ/5843/20</w:t>
      </w:r>
      <w:bookmarkEnd w:id="7"/>
    </w:p>
    <w:p w14:paraId="7F6961AD" w14:textId="002DE918" w:rsidR="00E13C27" w:rsidRDefault="00A443CF" w:rsidP="0035584B">
      <w:pPr>
        <w:pStyle w:val="HeadHatzaotHok"/>
        <w:spacing w:line="240" w:lineRule="auto"/>
        <w:rPr>
          <w:rtl/>
        </w:rPr>
      </w:pPr>
      <w:bookmarkStart w:id="8" w:name="LGS_Subject"/>
      <w:r>
        <w:rPr>
          <w:rFonts w:hint="cs"/>
          <w:rtl/>
        </w:rPr>
        <w:t xml:space="preserve">הצעת חוק הביטוח הלאומי (תיקון </w:t>
      </w:r>
      <w:r w:rsidR="0035584B">
        <w:rPr>
          <w:rFonts w:hint="eastAsia"/>
          <w:rtl/>
        </w:rPr>
        <w:t>–</w:t>
      </w:r>
      <w:r>
        <w:rPr>
          <w:rFonts w:hint="cs"/>
          <w:rtl/>
        </w:rPr>
        <w:t xml:space="preserve"> זכאות לגמלת ניידות לאחר גיל הפרישה), </w:t>
      </w:r>
      <w:proofErr w:type="spellStart"/>
      <w:r>
        <w:rPr>
          <w:rFonts w:hint="cs"/>
          <w:rtl/>
        </w:rPr>
        <w:t>התשע"ט</w:t>
      </w:r>
      <w:proofErr w:type="spellEnd"/>
      <w:r w:rsidR="0035584B">
        <w:rPr>
          <w:rFonts w:hint="eastAsia"/>
          <w:rtl/>
        </w:rPr>
        <w:t>–</w:t>
      </w:r>
      <w:r>
        <w:rPr>
          <w:rFonts w:hint="cs"/>
          <w:rtl/>
        </w:rPr>
        <w:t>2018</w:t>
      </w:r>
      <w:bookmarkEnd w:id="8"/>
    </w:p>
    <w:p w14:paraId="7C53F370" w14:textId="77777777" w:rsidR="0035584B" w:rsidRPr="00F67051" w:rsidRDefault="0035584B" w:rsidP="0035584B">
      <w:pPr>
        <w:pStyle w:val="HeadHatzaotHok"/>
        <w:spacing w:line="240" w:lineRule="auto"/>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C115A4" w14:paraId="035EEF3D" w14:textId="77777777" w:rsidTr="00C115A4">
        <w:trPr>
          <w:cantSplit/>
          <w:trHeight w:val="60"/>
        </w:trPr>
        <w:tc>
          <w:tcPr>
            <w:tcW w:w="1871" w:type="dxa"/>
          </w:tcPr>
          <w:p w14:paraId="0BDDD85B" w14:textId="4190B9E2" w:rsidR="00C115A4" w:rsidRDefault="00C115A4" w:rsidP="00C115A4">
            <w:pPr>
              <w:pStyle w:val="TableSideHeading"/>
              <w:keepLines w:val="0"/>
            </w:pPr>
            <w:r w:rsidRPr="004B6041">
              <w:rPr>
                <w:sz w:val="26"/>
                <w:rtl/>
              </w:rPr>
              <w:t xml:space="preserve">תיקון </w:t>
            </w:r>
            <w:r w:rsidRPr="004B6041">
              <w:rPr>
                <w:rFonts w:hint="cs"/>
                <w:sz w:val="26"/>
                <w:rtl/>
              </w:rPr>
              <w:t xml:space="preserve">סעיף </w:t>
            </w:r>
            <w:r>
              <w:rPr>
                <w:rFonts w:hint="cs"/>
                <w:sz w:val="26"/>
                <w:rtl/>
              </w:rPr>
              <w:t>406</w:t>
            </w:r>
            <w:r w:rsidRPr="004B6041">
              <w:rPr>
                <w:rFonts w:hint="cs"/>
                <w:sz w:val="26"/>
                <w:rtl/>
              </w:rPr>
              <w:t xml:space="preserve"> </w:t>
            </w:r>
          </w:p>
        </w:tc>
        <w:tc>
          <w:tcPr>
            <w:tcW w:w="624" w:type="dxa"/>
          </w:tcPr>
          <w:p w14:paraId="6F513EF6" w14:textId="71990497" w:rsidR="00C115A4" w:rsidRDefault="00C115A4" w:rsidP="00C115A4">
            <w:pPr>
              <w:pStyle w:val="TableText"/>
              <w:keepLines w:val="0"/>
            </w:pPr>
            <w:r>
              <w:rPr>
                <w:rFonts w:hint="cs"/>
                <w:rtl/>
              </w:rPr>
              <w:t>1.</w:t>
            </w:r>
          </w:p>
        </w:tc>
        <w:tc>
          <w:tcPr>
            <w:tcW w:w="7146" w:type="dxa"/>
          </w:tcPr>
          <w:p w14:paraId="1AE94DEB" w14:textId="2B3ED59B" w:rsidR="00C115A4" w:rsidRPr="000124B9" w:rsidRDefault="00C115A4" w:rsidP="000124B9">
            <w:pPr>
              <w:pStyle w:val="TableBlock"/>
            </w:pPr>
            <w:r w:rsidRPr="000124B9">
              <w:rPr>
                <w:rtl/>
              </w:rPr>
              <w:t>בחוק הבי</w:t>
            </w:r>
            <w:r w:rsidRPr="000124B9">
              <w:rPr>
                <w:rFonts w:hint="cs"/>
                <w:rtl/>
              </w:rPr>
              <w:t>ט</w:t>
            </w:r>
            <w:r w:rsidRPr="000124B9">
              <w:rPr>
                <w:rtl/>
              </w:rPr>
              <w:t xml:space="preserve">וח הלאומי [נוסח משולב], </w:t>
            </w:r>
            <w:proofErr w:type="spellStart"/>
            <w:r w:rsidRPr="000124B9">
              <w:rPr>
                <w:rtl/>
              </w:rPr>
              <w:t>התשנ"ה</w:t>
            </w:r>
            <w:proofErr w:type="spellEnd"/>
            <w:r w:rsidRPr="000124B9">
              <w:rPr>
                <w:rtl/>
              </w:rPr>
              <w:t>–1995</w:t>
            </w:r>
            <w:r w:rsidRPr="000124B9">
              <w:rPr>
                <w:vertAlign w:val="superscript"/>
                <w:rtl/>
              </w:rPr>
              <w:footnoteReference w:id="2"/>
            </w:r>
            <w:r w:rsidRPr="000124B9">
              <w:rPr>
                <w:rFonts w:hint="cs"/>
                <w:rtl/>
              </w:rPr>
              <w:t xml:space="preserve">, </w:t>
            </w:r>
            <w:r w:rsidR="005B378A" w:rsidRPr="000124B9">
              <w:rPr>
                <w:rFonts w:hint="cs"/>
                <w:rtl/>
              </w:rPr>
              <w:t>ב</w:t>
            </w:r>
            <w:r w:rsidRPr="000124B9">
              <w:rPr>
                <w:rFonts w:hint="cs"/>
                <w:rtl/>
              </w:rPr>
              <w:t>סעיף 406</w:t>
            </w:r>
            <w:r w:rsidR="000124B9">
              <w:rPr>
                <w:rFonts w:hint="cs"/>
                <w:rtl/>
              </w:rPr>
              <w:t>,</w:t>
            </w:r>
            <w:r w:rsidR="005B378A" w:rsidRPr="000124B9">
              <w:rPr>
                <w:rFonts w:hint="cs"/>
                <w:rtl/>
              </w:rPr>
              <w:t xml:space="preserve"> במקום פסקה </w:t>
            </w:r>
            <w:r w:rsidRPr="000124B9">
              <w:rPr>
                <w:rFonts w:hint="cs"/>
                <w:rtl/>
              </w:rPr>
              <w:t>(3) יבוא:</w:t>
            </w:r>
          </w:p>
        </w:tc>
      </w:tr>
      <w:tr w:rsidR="00C115A4" w14:paraId="3D9B61D1" w14:textId="77777777" w:rsidTr="00C115A4">
        <w:trPr>
          <w:cantSplit/>
          <w:trHeight w:val="60"/>
        </w:trPr>
        <w:tc>
          <w:tcPr>
            <w:tcW w:w="1871" w:type="dxa"/>
          </w:tcPr>
          <w:p w14:paraId="7C03E696" w14:textId="77777777" w:rsidR="00C115A4" w:rsidRDefault="00C115A4" w:rsidP="00C115A4">
            <w:pPr>
              <w:pStyle w:val="TableSideHeading"/>
              <w:keepLines w:val="0"/>
            </w:pPr>
          </w:p>
        </w:tc>
        <w:tc>
          <w:tcPr>
            <w:tcW w:w="624" w:type="dxa"/>
          </w:tcPr>
          <w:p w14:paraId="3F4286A2" w14:textId="77777777" w:rsidR="00C115A4" w:rsidRDefault="00C115A4" w:rsidP="00C115A4">
            <w:pPr>
              <w:pStyle w:val="TableText"/>
              <w:keepLines w:val="0"/>
            </w:pPr>
          </w:p>
        </w:tc>
        <w:tc>
          <w:tcPr>
            <w:tcW w:w="7146" w:type="dxa"/>
          </w:tcPr>
          <w:p w14:paraId="7633D5BB" w14:textId="0FC57DA4" w:rsidR="00C115A4" w:rsidRPr="00C34DE2" w:rsidRDefault="005B378A" w:rsidP="000124B9">
            <w:pPr>
              <w:pStyle w:val="TableBlock"/>
              <w:keepLines w:val="0"/>
            </w:pPr>
            <w:r>
              <w:rPr>
                <w:rFonts w:hint="cs"/>
                <w:sz w:val="26"/>
                <w:rtl/>
              </w:rPr>
              <w:t>"</w:t>
            </w:r>
            <w:r w:rsidR="00C115A4">
              <w:rPr>
                <w:rFonts w:hint="cs"/>
                <w:sz w:val="26"/>
                <w:rtl/>
              </w:rPr>
              <w:t xml:space="preserve">(3)  </w:t>
            </w:r>
            <w:r>
              <w:rPr>
                <w:rFonts w:hint="cs"/>
                <w:sz w:val="26"/>
                <w:rtl/>
              </w:rPr>
              <w:t>הוראה בהסכם בדבר גמלת ניידות המגבילה את הזכאות לפי ההסכם לגבי מי שהגיע לגיל פרישה, לא יהיה לה תוקף</w:t>
            </w:r>
            <w:r w:rsidR="000124B9">
              <w:rPr>
                <w:rFonts w:hint="cs"/>
                <w:sz w:val="26"/>
                <w:rtl/>
              </w:rPr>
              <w:t>.</w:t>
            </w:r>
            <w:r>
              <w:rPr>
                <w:rFonts w:hint="cs"/>
                <w:sz w:val="26"/>
                <w:rtl/>
              </w:rPr>
              <w:t>"</w:t>
            </w:r>
          </w:p>
        </w:tc>
      </w:tr>
    </w:tbl>
    <w:p w14:paraId="7F6961CA" w14:textId="77777777" w:rsidR="002D1EE3" w:rsidRDefault="002D1EE3" w:rsidP="002D1EE3">
      <w:pPr>
        <w:pStyle w:val="HeadDivreiHesber"/>
        <w:rPr>
          <w:rtl/>
        </w:rPr>
      </w:pPr>
      <w:r w:rsidRPr="0027450A">
        <w:rPr>
          <w:rFonts w:hint="cs"/>
          <w:rtl/>
        </w:rPr>
        <w:t>דברי הסבר</w:t>
      </w:r>
    </w:p>
    <w:p w14:paraId="191BCDF7" w14:textId="77777777" w:rsidR="00C115A4" w:rsidRPr="00B309C3" w:rsidRDefault="00C115A4" w:rsidP="00B309C3">
      <w:pPr>
        <w:pStyle w:val="Hesber"/>
        <w:spacing w:line="276" w:lineRule="auto"/>
        <w:rPr>
          <w:rtl/>
        </w:rPr>
      </w:pPr>
      <w:r w:rsidRPr="00B309C3">
        <w:rPr>
          <w:rtl/>
        </w:rPr>
        <w:t xml:space="preserve">במסגרת הסכם הניידות שנחתם בשנת 1977 בין משרד האוצר למוסד לביטוח לאומי, הוסדרו מספר זכאויות והטבות שלהן זכאים אנשים המוגבלים בניידות. מטרת ההסכם היא לשפר את יכולת הניידות למי שמוגבל בה ולאפשר בכך לזכאים חיים עצמאיים ויצרניים יותר, לרבות אפשרות השתלבותם בתעסוקה. </w:t>
      </w:r>
    </w:p>
    <w:p w14:paraId="5AB92E08" w14:textId="4305CC9D" w:rsidR="00C115A4" w:rsidRPr="00B309C3" w:rsidRDefault="00C115A4" w:rsidP="00B309C3">
      <w:pPr>
        <w:pStyle w:val="Hesber"/>
        <w:spacing w:line="276" w:lineRule="auto"/>
        <w:rPr>
          <w:rtl/>
        </w:rPr>
      </w:pPr>
      <w:r w:rsidRPr="00B309C3">
        <w:rPr>
          <w:rtl/>
        </w:rPr>
        <w:t xml:space="preserve">במסגרת ההסכם נקבע גם כי הזכאות לגמלת ניידות מוגבלת, כך שלא ניתן להגיש לראשונה תביעה לגמלת ניידות לאחר גיל הפרישה; כלומר, הזכאות לגמלה </w:t>
      </w:r>
      <w:r w:rsidR="005B378A" w:rsidRPr="00B309C3">
        <w:rPr>
          <w:rFonts w:hint="cs"/>
          <w:rtl/>
        </w:rPr>
        <w:t xml:space="preserve">אחרי גיל הפרישה </w:t>
      </w:r>
      <w:r w:rsidRPr="00B309C3">
        <w:rPr>
          <w:rtl/>
        </w:rPr>
        <w:t>עומדת אך ורק למי שקיבלו גמלת ניידות (בעלי רישיון נהיגה בתוקף שנקבעו להם לפחות 40% מוגבלות בניידות) לפני שהגיעו לגיל הפרישה ועשויים להמשיך ולהיות זכאים לה גם ב</w:t>
      </w:r>
      <w:r w:rsidR="000124B9" w:rsidRPr="00B309C3">
        <w:rPr>
          <w:rtl/>
        </w:rPr>
        <w:t xml:space="preserve">המשך. ברי כי מצב זה טומן בחובו </w:t>
      </w:r>
      <w:r w:rsidR="000124B9" w:rsidRPr="00B309C3">
        <w:rPr>
          <w:rFonts w:hint="cs"/>
          <w:rtl/>
        </w:rPr>
        <w:t>ה</w:t>
      </w:r>
      <w:r w:rsidRPr="00B309C3">
        <w:rPr>
          <w:rtl/>
        </w:rPr>
        <w:t xml:space="preserve">פליה קשה כלפי מבוטחים שחצו את גיל הפרישה ומוגבלים בניידות, שכן אין הבדל מהותי בין מבוטח (גבר) שגילו 66.5 אשר </w:t>
      </w:r>
      <w:r w:rsidR="005B378A" w:rsidRPr="00B309C3">
        <w:rPr>
          <w:rFonts w:hint="cs"/>
          <w:rtl/>
        </w:rPr>
        <w:t>יהיה</w:t>
      </w:r>
      <w:r w:rsidRPr="00B309C3">
        <w:rPr>
          <w:rtl/>
        </w:rPr>
        <w:t xml:space="preserve"> זכאי </w:t>
      </w:r>
      <w:r w:rsidR="005B378A" w:rsidRPr="00B309C3">
        <w:rPr>
          <w:rFonts w:hint="cs"/>
          <w:rtl/>
        </w:rPr>
        <w:t xml:space="preserve">לגמלה </w:t>
      </w:r>
      <w:r w:rsidRPr="00B309C3">
        <w:rPr>
          <w:rtl/>
        </w:rPr>
        <w:t xml:space="preserve">לעומת אחר </w:t>
      </w:r>
      <w:r w:rsidR="005B378A" w:rsidRPr="00B309C3">
        <w:rPr>
          <w:rFonts w:hint="cs"/>
          <w:rtl/>
        </w:rPr>
        <w:t xml:space="preserve">עם הגבלה דומה בניידות </w:t>
      </w:r>
      <w:r w:rsidRPr="00B309C3">
        <w:rPr>
          <w:rtl/>
        </w:rPr>
        <w:t>שגילו 67.5</w:t>
      </w:r>
      <w:r w:rsidR="005B378A" w:rsidRPr="00B309C3">
        <w:rPr>
          <w:rFonts w:hint="cs"/>
          <w:rtl/>
        </w:rPr>
        <w:t>,</w:t>
      </w:r>
      <w:r w:rsidRPr="00B309C3">
        <w:rPr>
          <w:rtl/>
        </w:rPr>
        <w:t xml:space="preserve"> שלא </w:t>
      </w:r>
      <w:r w:rsidR="005B378A" w:rsidRPr="00B309C3">
        <w:rPr>
          <w:rFonts w:hint="cs"/>
          <w:rtl/>
        </w:rPr>
        <w:t>יהיה זכאי לה</w:t>
      </w:r>
      <w:r w:rsidRPr="00B309C3">
        <w:rPr>
          <w:rtl/>
        </w:rPr>
        <w:t xml:space="preserve">. אדרבא, הרי ברור כי עם התקדמות הגיל הסיכוי של אדם להיות מוגבל יותר בביצוע פעולות היום-יום, </w:t>
      </w:r>
      <w:r w:rsidR="005B378A" w:rsidRPr="00B309C3">
        <w:rPr>
          <w:rFonts w:hint="cs"/>
          <w:rtl/>
        </w:rPr>
        <w:t>לרבות ניידות</w:t>
      </w:r>
      <w:r w:rsidRPr="00B309C3">
        <w:rPr>
          <w:rtl/>
        </w:rPr>
        <w:t xml:space="preserve">, עולה בהתמדה. אדם </w:t>
      </w:r>
      <w:r w:rsidR="005B378A" w:rsidRPr="00B309C3">
        <w:rPr>
          <w:rFonts w:hint="cs"/>
          <w:rtl/>
        </w:rPr>
        <w:t>ש</w:t>
      </w:r>
      <w:r w:rsidRPr="00B309C3">
        <w:rPr>
          <w:rtl/>
        </w:rPr>
        <w:t xml:space="preserve">מוגבל </w:t>
      </w:r>
      <w:r w:rsidR="005B378A" w:rsidRPr="00B309C3">
        <w:rPr>
          <w:rFonts w:hint="cs"/>
          <w:rtl/>
        </w:rPr>
        <w:t xml:space="preserve">ביכולתו </w:t>
      </w:r>
      <w:r w:rsidRPr="00B309C3">
        <w:rPr>
          <w:rtl/>
        </w:rPr>
        <w:t xml:space="preserve">לצאת את ביתו בגלל אי </w:t>
      </w:r>
      <w:r w:rsidR="005B378A" w:rsidRPr="00B309C3">
        <w:rPr>
          <w:rFonts w:hint="cs"/>
          <w:rtl/>
        </w:rPr>
        <w:t>זכאות ל</w:t>
      </w:r>
      <w:r w:rsidRPr="00B309C3">
        <w:rPr>
          <w:rtl/>
        </w:rPr>
        <w:t xml:space="preserve">סיוע, </w:t>
      </w:r>
      <w:r w:rsidR="005B378A" w:rsidRPr="00B309C3">
        <w:rPr>
          <w:rFonts w:hint="cs"/>
          <w:rtl/>
        </w:rPr>
        <w:t>יהיה צפוי ל</w:t>
      </w:r>
      <w:r w:rsidRPr="00B309C3">
        <w:rPr>
          <w:rtl/>
        </w:rPr>
        <w:t>מצב בריאותי וחברתי ירודים יותר</w:t>
      </w:r>
      <w:r w:rsidR="005B378A" w:rsidRPr="00B309C3">
        <w:rPr>
          <w:rFonts w:hint="cs"/>
          <w:rtl/>
        </w:rPr>
        <w:t>,</w:t>
      </w:r>
      <w:r w:rsidRPr="00B309C3">
        <w:rPr>
          <w:rtl/>
        </w:rPr>
        <w:t xml:space="preserve"> </w:t>
      </w:r>
      <w:r w:rsidR="005B378A" w:rsidRPr="00B309C3">
        <w:rPr>
          <w:rFonts w:hint="cs"/>
          <w:rtl/>
        </w:rPr>
        <w:t xml:space="preserve">ולראיה </w:t>
      </w:r>
      <w:r w:rsidRPr="00B309C3">
        <w:rPr>
          <w:rtl/>
        </w:rPr>
        <w:t>41% מהקשישים סובלים מבדידות</w:t>
      </w:r>
      <w:r w:rsidR="005B378A" w:rsidRPr="00B309C3">
        <w:rPr>
          <w:rFonts w:hint="cs"/>
          <w:rtl/>
        </w:rPr>
        <w:t xml:space="preserve">, מה גם שהדבר מטיל </w:t>
      </w:r>
      <w:r w:rsidRPr="00B309C3">
        <w:rPr>
          <w:rtl/>
        </w:rPr>
        <w:t xml:space="preserve">עומס כלכלי ופיזי אדיר על בני המשפחה.  </w:t>
      </w:r>
    </w:p>
    <w:p w14:paraId="0D27D6AE" w14:textId="3570D4FA" w:rsidR="00C115A4" w:rsidRPr="00B309C3" w:rsidRDefault="00C115A4" w:rsidP="00B309C3">
      <w:pPr>
        <w:pStyle w:val="Hesber"/>
        <w:spacing w:line="276" w:lineRule="auto"/>
        <w:rPr>
          <w:rtl/>
        </w:rPr>
      </w:pPr>
      <w:r w:rsidRPr="00B309C3">
        <w:rPr>
          <w:rtl/>
        </w:rPr>
        <w:t>לפיכך מוצע לתקן את המגבלה</w:t>
      </w:r>
      <w:r w:rsidR="000124B9" w:rsidRPr="00B309C3">
        <w:rPr>
          <w:rFonts w:hint="cs"/>
          <w:rtl/>
        </w:rPr>
        <w:t xml:space="preserve"> </w:t>
      </w:r>
      <w:r w:rsidRPr="00B309C3">
        <w:rPr>
          <w:rtl/>
        </w:rPr>
        <w:t>כך שהתנאי שנקבע בשעתו בחוק לא יכשיל את זכאותם של רבים הזקוקים לסיוע. לפי ההצעה, תבוטל מגבלת הגיל כך שגם מבוטחים שדורשים לראשונה את גמלת הניידות לאח</w:t>
      </w:r>
      <w:r w:rsidR="000124B9" w:rsidRPr="00B309C3">
        <w:rPr>
          <w:rtl/>
        </w:rPr>
        <w:t xml:space="preserve">ר גיל הפרישה יוכלו לקבלה </w:t>
      </w:r>
      <w:r w:rsidR="000124B9" w:rsidRPr="00B309C3">
        <w:rPr>
          <w:rFonts w:hint="cs"/>
          <w:rtl/>
        </w:rPr>
        <w:t xml:space="preserve">אם </w:t>
      </w:r>
      <w:r w:rsidRPr="00B309C3">
        <w:rPr>
          <w:rtl/>
        </w:rPr>
        <w:t xml:space="preserve">מצבם הרפואי יצדיק זאת. בכך, יגדלו סיכוייהם לחיים עצמאיים ובריאים יותר ותמומש עד תום זכותם החברתית והאזרחית להתנייד בחופשיות ממקום למקום. </w:t>
      </w:r>
    </w:p>
    <w:p w14:paraId="69933E44" w14:textId="77777777" w:rsidR="000124B9" w:rsidRPr="00D73212" w:rsidRDefault="000124B9" w:rsidP="000124B9">
      <w:pPr>
        <w:pStyle w:val="Hesber"/>
        <w:rPr>
          <w:color w:val="auto"/>
          <w:rtl/>
          <w:lang w:eastAsia="en-US"/>
        </w:rPr>
      </w:pPr>
      <w:r w:rsidRPr="00D73212">
        <w:rPr>
          <w:color w:val="auto"/>
          <w:rtl/>
          <w:lang w:eastAsia="en-US"/>
        </w:rPr>
        <w:t>---------------------------------</w:t>
      </w:r>
    </w:p>
    <w:p w14:paraId="50C89F4D" w14:textId="77777777" w:rsidR="000124B9" w:rsidRPr="00D73212" w:rsidRDefault="000124B9" w:rsidP="000124B9">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3B943CB1" w14:textId="77777777" w:rsidR="000124B9" w:rsidRPr="00D73212" w:rsidRDefault="000124B9" w:rsidP="000124B9">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4E3F32F8" w14:textId="1008419D" w:rsidR="000124B9" w:rsidRPr="000124B9" w:rsidRDefault="000124B9" w:rsidP="0035584B">
      <w:pPr>
        <w:pStyle w:val="Hesber"/>
        <w:rPr>
          <w:rtl/>
        </w:rPr>
      </w:pPr>
      <w:r>
        <w:rPr>
          <w:rFonts w:hint="cs"/>
          <w:color w:val="auto"/>
          <w:rtl/>
          <w:lang w:eastAsia="en-US"/>
        </w:rPr>
        <w:t>י"א בכסלו</w:t>
      </w:r>
      <w:r w:rsidRPr="00D73212">
        <w:rPr>
          <w:color w:val="auto"/>
          <w:rtl/>
          <w:lang w:eastAsia="en-US"/>
        </w:rPr>
        <w:t xml:space="preserve"> </w:t>
      </w:r>
      <w:proofErr w:type="spellStart"/>
      <w:r w:rsidRPr="00D73212">
        <w:rPr>
          <w:rFonts w:hint="cs"/>
          <w:color w:val="auto"/>
          <w:rtl/>
          <w:lang w:eastAsia="en-US"/>
        </w:rPr>
        <w:t>התשע</w:t>
      </w:r>
      <w:r w:rsidRPr="00D73212">
        <w:rPr>
          <w:color w:val="auto"/>
          <w:rtl/>
          <w:lang w:eastAsia="en-US"/>
        </w:rPr>
        <w:t>"</w:t>
      </w:r>
      <w:r>
        <w:rPr>
          <w:rFonts w:hint="cs"/>
          <w:color w:val="auto"/>
          <w:rtl/>
          <w:lang w:eastAsia="en-US"/>
        </w:rPr>
        <w:t>ט</w:t>
      </w:r>
      <w:proofErr w:type="spellEnd"/>
      <w:r>
        <w:rPr>
          <w:rFonts w:hint="cs"/>
          <w:color w:val="auto"/>
          <w:rtl/>
          <w:lang w:eastAsia="en-US"/>
        </w:rPr>
        <w:t xml:space="preserve"> </w:t>
      </w:r>
      <w:r w:rsidRPr="00D73212">
        <w:rPr>
          <w:color w:val="auto"/>
          <w:rtl/>
          <w:lang w:eastAsia="en-US"/>
        </w:rPr>
        <w:t>–</w:t>
      </w:r>
      <w:r>
        <w:rPr>
          <w:rFonts w:hint="cs"/>
          <w:color w:val="auto"/>
          <w:rtl/>
          <w:lang w:eastAsia="en-US"/>
        </w:rPr>
        <w:t xml:space="preserve"> 19.11</w:t>
      </w:r>
      <w:r w:rsidRPr="00D73212">
        <w:rPr>
          <w:color w:val="auto"/>
          <w:rtl/>
          <w:lang w:eastAsia="en-US"/>
        </w:rPr>
        <w:t>.</w:t>
      </w:r>
      <w:r>
        <w:rPr>
          <w:rFonts w:hint="cs"/>
          <w:color w:val="auto"/>
          <w:rtl/>
          <w:lang w:eastAsia="en-US"/>
        </w:rPr>
        <w:t xml:space="preserve">18   </w:t>
      </w:r>
    </w:p>
    <w:sectPr w:rsidR="000124B9" w:rsidRPr="000124B9" w:rsidSect="00B309C3">
      <w:footerReference w:type="even" r:id="rId11"/>
      <w:footerReference w:type="default" r:id="rId12"/>
      <w:pgSz w:w="11907" w:h="16840" w:code="9"/>
      <w:pgMar w:top="993"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35584B">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2860DD1A" w14:textId="77777777" w:rsidR="00C115A4" w:rsidRDefault="00C115A4" w:rsidP="00C115A4">
      <w:pPr>
        <w:pStyle w:val="a4"/>
      </w:pPr>
      <w:r>
        <w:rPr>
          <w:rStyle w:val="a6"/>
        </w:rPr>
        <w:footnoteRef/>
      </w:r>
      <w:r>
        <w:rPr>
          <w:rFonts w:hint="cs"/>
          <w:rtl/>
        </w:rPr>
        <w:t xml:space="preserve"> </w:t>
      </w:r>
      <w:r>
        <w:rPr>
          <w:rtl/>
        </w:rPr>
        <w:t xml:space="preserve">ס"ח </w:t>
      </w:r>
      <w:proofErr w:type="spellStart"/>
      <w:r>
        <w:rPr>
          <w:rtl/>
        </w:rPr>
        <w:t>התשנ"ה</w:t>
      </w:r>
      <w:proofErr w:type="spellEnd"/>
      <w:r>
        <w:rPr>
          <w:rtl/>
        </w:rPr>
        <w:t>, עמ' 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24B9"/>
    <w:rsid w:val="00015B27"/>
    <w:rsid w:val="00032E9D"/>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5528F"/>
    <w:rsid w:val="0035584B"/>
    <w:rsid w:val="0036422C"/>
    <w:rsid w:val="003710F6"/>
    <w:rsid w:val="00386E88"/>
    <w:rsid w:val="00396585"/>
    <w:rsid w:val="003D6E38"/>
    <w:rsid w:val="003D74A0"/>
    <w:rsid w:val="004033D8"/>
    <w:rsid w:val="004073F0"/>
    <w:rsid w:val="00412A7D"/>
    <w:rsid w:val="00416B4D"/>
    <w:rsid w:val="00417CFC"/>
    <w:rsid w:val="00425254"/>
    <w:rsid w:val="004A06DC"/>
    <w:rsid w:val="004B24ED"/>
    <w:rsid w:val="004B6625"/>
    <w:rsid w:val="004D2D82"/>
    <w:rsid w:val="004D3876"/>
    <w:rsid w:val="004E4552"/>
    <w:rsid w:val="004E6CDF"/>
    <w:rsid w:val="00553C9D"/>
    <w:rsid w:val="00562A66"/>
    <w:rsid w:val="005B064E"/>
    <w:rsid w:val="005B378A"/>
    <w:rsid w:val="005D51AE"/>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09C3"/>
    <w:rsid w:val="00B35784"/>
    <w:rsid w:val="00B733A7"/>
    <w:rsid w:val="00B75C91"/>
    <w:rsid w:val="00B975AD"/>
    <w:rsid w:val="00BC45FB"/>
    <w:rsid w:val="00BF148D"/>
    <w:rsid w:val="00C115A4"/>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878B8"/>
    <w:rsid w:val="00EA01E6"/>
    <w:rsid w:val="00EA3DE8"/>
    <w:rsid w:val="00EA758F"/>
    <w:rsid w:val="00ED05A4"/>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C98F3AD7-70A6-4860-8529-8C7571E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rsid w:val="00C115A4"/>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392DFFED-1490-4278-A979-7233F349B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CA7FDE-BD5D-4E8C-9C89-4CB33FFC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340</Words>
  <Characters>1700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10</cp:revision>
  <cp:lastPrinted>2018-11-19T07:04:00Z</cp:lastPrinted>
  <dcterms:created xsi:type="dcterms:W3CDTF">2015-04-20T09:58:00Z</dcterms:created>
  <dcterms:modified xsi:type="dcterms:W3CDTF">2018-11-19T07:04:00Z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2075138</vt:r8>
  </property>
</Properties>
</file>