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E635A2" w:rsidRDefault="004033D8" w:rsidP="00E635A2">
      <w:pPr>
        <w:jc w:val="right"/>
        <w:rPr>
          <w:rFonts w:cs="David"/>
          <w:b/>
          <w:bCs/>
          <w:sz w:val="20"/>
          <w:szCs w:val="20"/>
        </w:rPr>
      </w:pPr>
      <w:r w:rsidRPr="00E635A2">
        <w:rPr>
          <w:rFonts w:cs="David" w:hint="cs"/>
          <w:sz w:val="20"/>
          <w:szCs w:val="20"/>
          <w:rtl/>
        </w:rPr>
        <w:t xml:space="preserve">מספר פנימי: </w:t>
      </w:r>
      <w:bookmarkStart w:id="0" w:name="LGS_Internal_ID"/>
      <w:r>
        <w:rPr>
          <w:rFonts w:cs="David" w:hint="cs"/>
          <w:sz w:val="20"/>
          <w:szCs w:val="20"/>
          <w:rtl/>
        </w:rPr>
        <w:t>2074668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יעקב אשר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משה גפני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 xml:space="preserve">אורי </w:t>
      </w:r>
      <w:proofErr w:type="spellStart"/>
      <w:r>
        <w:rPr>
          <w:rFonts w:hint="cs"/>
          <w:b/>
          <w:bCs/>
          <w:rtl/>
        </w:rPr>
        <w:t>מקלב</w:t>
      </w:r>
      <w:proofErr w:type="spellEnd"/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אילן גילאון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איציק שמולי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 xml:space="preserve">יעקב </w:t>
      </w:r>
      <w:proofErr w:type="spellStart"/>
      <w:r>
        <w:rPr>
          <w:rFonts w:hint="cs"/>
          <w:b/>
          <w:bCs/>
          <w:rtl/>
        </w:rPr>
        <w:t>מרגי</w:t>
      </w:r>
      <w:proofErr w:type="spellEnd"/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 xml:space="preserve">רועי </w:t>
      </w:r>
      <w:proofErr w:type="spellStart"/>
      <w:r>
        <w:rPr>
          <w:rFonts w:hint="cs"/>
          <w:b/>
          <w:bCs/>
          <w:rtl/>
        </w:rPr>
        <w:t>פולקמן</w:t>
      </w:r>
      <w:bookmarkEnd w:id="3"/>
      <w:proofErr w:type="spellEnd"/>
    </w:p>
    <w:p w14:paraId="7F6961AA" w14:textId="39F9D96B" w:rsidR="00E13C27" w:rsidRPr="00CF1AA2" w:rsidRDefault="007D585A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4" w:name="LGS_Join_List"/>
      <w:r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פ/5792/20</w:t>
      </w:r>
      <w:bookmarkEnd w:id="6"/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7F6961AD" w14:textId="4B9E518D" w:rsidR="00E13C27" w:rsidRPr="00F67051" w:rsidRDefault="00A443CF" w:rsidP="00776390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 xml:space="preserve">הצעת חוק הביטוח הלאומי (תיקון – שינוי המונח נכה), </w:t>
      </w:r>
      <w:proofErr w:type="spellStart"/>
      <w:r>
        <w:rPr>
          <w:rFonts w:hint="cs"/>
          <w:rtl/>
        </w:rPr>
        <w:t>התשע"ט</w:t>
      </w:r>
      <w:proofErr w:type="spellEnd"/>
      <w:r>
        <w:rPr>
          <w:rFonts w:hint="cs"/>
          <w:rtl/>
        </w:rPr>
        <w:t>–2018</w:t>
      </w:r>
      <w:bookmarkEnd w:id="7"/>
    </w:p>
    <w:p w14:paraId="7F6961AE" w14:textId="77777777" w:rsidR="00E13C27" w:rsidRDefault="00E13C27" w:rsidP="0021633A">
      <w:pPr>
        <w:pStyle w:val="HeadDivreiHesber"/>
        <w:spacing w:before="0" w:after="0"/>
        <w:rPr>
          <w:rtl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522"/>
      </w:tblGrid>
      <w:tr w:rsidR="00C363DB" w:rsidRPr="00272463" w14:paraId="7D508CB1" w14:textId="77777777" w:rsidTr="00C363DB">
        <w:trPr>
          <w:cantSplit/>
          <w:trHeight w:val="60"/>
        </w:trPr>
        <w:tc>
          <w:tcPr>
            <w:tcW w:w="1871" w:type="dxa"/>
            <w:hideMark/>
          </w:tcPr>
          <w:p w14:paraId="751D14E7" w14:textId="77777777" w:rsidR="00C363DB" w:rsidRPr="00272463" w:rsidRDefault="00C363DB" w:rsidP="00776390">
            <w:pPr>
              <w:pStyle w:val="TableSideHeading"/>
              <w:ind w:right="0"/>
              <w:rPr>
                <w:sz w:val="26"/>
              </w:rPr>
            </w:pPr>
            <w:r w:rsidRPr="00272463">
              <w:rPr>
                <w:sz w:val="26"/>
                <w:rtl/>
              </w:rPr>
              <w:t>החלפת מונח</w:t>
            </w:r>
          </w:p>
        </w:tc>
        <w:tc>
          <w:tcPr>
            <w:tcW w:w="624" w:type="dxa"/>
            <w:hideMark/>
          </w:tcPr>
          <w:p w14:paraId="77B7D3F5" w14:textId="77777777" w:rsidR="00C363DB" w:rsidRPr="00272463" w:rsidRDefault="00C363DB" w:rsidP="00776390">
            <w:pPr>
              <w:pStyle w:val="TableInnerSideHeading"/>
              <w:ind w:right="0"/>
              <w:rPr>
                <w:sz w:val="26"/>
              </w:rPr>
            </w:pPr>
            <w:r w:rsidRPr="00272463">
              <w:rPr>
                <w:sz w:val="26"/>
                <w:rtl/>
              </w:rPr>
              <w:t>1.</w:t>
            </w:r>
          </w:p>
        </w:tc>
        <w:tc>
          <w:tcPr>
            <w:tcW w:w="7146" w:type="dxa"/>
            <w:gridSpan w:val="2"/>
            <w:hideMark/>
          </w:tcPr>
          <w:p w14:paraId="624B4986" w14:textId="043706BB" w:rsidR="00C363DB" w:rsidRPr="00272463" w:rsidRDefault="00C363DB" w:rsidP="00272463">
            <w:pPr>
              <w:pStyle w:val="TableBlock"/>
              <w:rPr>
                <w:sz w:val="26"/>
              </w:rPr>
            </w:pPr>
            <w:r w:rsidRPr="00272463">
              <w:rPr>
                <w:sz w:val="26"/>
                <w:rtl/>
              </w:rPr>
              <w:t xml:space="preserve">בחוק  הביטוח הלאומי [נוסח משולב], </w:t>
            </w:r>
            <w:proofErr w:type="spellStart"/>
            <w:r w:rsidR="00DF436B" w:rsidRPr="00272463">
              <w:rPr>
                <w:rFonts w:hint="cs"/>
                <w:sz w:val="26"/>
                <w:rtl/>
              </w:rPr>
              <w:t>ה</w:t>
            </w:r>
            <w:r w:rsidRPr="00272463">
              <w:rPr>
                <w:sz w:val="26"/>
                <w:rtl/>
              </w:rPr>
              <w:t>תשנ"ה</w:t>
            </w:r>
            <w:proofErr w:type="spellEnd"/>
            <w:r w:rsidR="00DF436B" w:rsidRPr="00272463">
              <w:rPr>
                <w:rFonts w:hint="cs"/>
                <w:sz w:val="26"/>
                <w:rtl/>
              </w:rPr>
              <w:t>–</w:t>
            </w:r>
            <w:r w:rsidRPr="00272463">
              <w:rPr>
                <w:sz w:val="26"/>
                <w:rtl/>
              </w:rPr>
              <w:t>1995</w:t>
            </w:r>
            <w:r w:rsidRPr="00272463">
              <w:rPr>
                <w:sz w:val="26"/>
                <w:vertAlign w:val="superscript"/>
                <w:rtl/>
              </w:rPr>
              <w:footnoteReference w:id="2"/>
            </w:r>
            <w:r w:rsidR="005306D9" w:rsidRPr="005F6DC8">
              <w:rPr>
                <w:rFonts w:hint="cs"/>
                <w:sz w:val="26"/>
                <w:rtl/>
              </w:rPr>
              <w:t xml:space="preserve">, </w:t>
            </w:r>
            <w:r w:rsidR="005306D9" w:rsidRPr="00272463">
              <w:rPr>
                <w:rFonts w:hint="cs"/>
                <w:sz w:val="26"/>
                <w:rtl/>
              </w:rPr>
              <w:t>בכל מקום</w:t>
            </w:r>
            <w:r w:rsidR="00272463">
              <w:rPr>
                <w:rFonts w:ascii="David" w:hAnsi="David" w:hint="cs"/>
                <w:sz w:val="26"/>
                <w:rtl/>
              </w:rPr>
              <w:t>,</w:t>
            </w:r>
            <w:r w:rsidR="005306D9" w:rsidRPr="00272463">
              <w:rPr>
                <w:rFonts w:hint="cs"/>
                <w:sz w:val="26"/>
                <w:rtl/>
              </w:rPr>
              <w:t xml:space="preserve"> </w:t>
            </w:r>
            <w:r w:rsidR="00776390" w:rsidRPr="00272463">
              <w:rPr>
                <w:rFonts w:hint="cs"/>
                <w:sz w:val="26"/>
                <w:rtl/>
              </w:rPr>
              <w:t xml:space="preserve">במקום </w:t>
            </w:r>
            <w:r w:rsidR="00DF436B" w:rsidRPr="00272463">
              <w:rPr>
                <w:rFonts w:hint="cs"/>
                <w:sz w:val="26"/>
                <w:rtl/>
              </w:rPr>
              <w:t>ה</w:t>
            </w:r>
            <w:r w:rsidR="00776390" w:rsidRPr="00272463">
              <w:rPr>
                <w:rFonts w:hint="cs"/>
                <w:sz w:val="26"/>
                <w:rtl/>
              </w:rPr>
              <w:t>מונח</w:t>
            </w:r>
            <w:r w:rsidR="002614F3" w:rsidRPr="00272463">
              <w:rPr>
                <w:rFonts w:hint="cs"/>
                <w:sz w:val="26"/>
                <w:rtl/>
              </w:rPr>
              <w:t>ים</w:t>
            </w:r>
            <w:r w:rsidR="00776390" w:rsidRPr="00272463">
              <w:rPr>
                <w:rFonts w:hint="cs"/>
                <w:sz w:val="26"/>
                <w:rtl/>
              </w:rPr>
              <w:t xml:space="preserve"> להלן יבוא</w:t>
            </w:r>
            <w:r w:rsidR="002614F3" w:rsidRPr="00272463">
              <w:rPr>
                <w:rFonts w:hint="cs"/>
                <w:sz w:val="26"/>
                <w:rtl/>
              </w:rPr>
              <w:t>ו</w:t>
            </w:r>
            <w:r w:rsidR="00776390" w:rsidRPr="00272463">
              <w:rPr>
                <w:rFonts w:hint="cs"/>
                <w:sz w:val="26"/>
                <w:rtl/>
              </w:rPr>
              <w:t xml:space="preserve"> המונח</w:t>
            </w:r>
            <w:r w:rsidR="002614F3" w:rsidRPr="00272463">
              <w:rPr>
                <w:rFonts w:hint="cs"/>
                <w:sz w:val="26"/>
                <w:rtl/>
              </w:rPr>
              <w:t>ים</w:t>
            </w:r>
            <w:r w:rsidR="00776390" w:rsidRPr="00272463">
              <w:rPr>
                <w:rFonts w:hint="cs"/>
                <w:sz w:val="26"/>
                <w:rtl/>
              </w:rPr>
              <w:t xml:space="preserve"> </w:t>
            </w:r>
            <w:proofErr w:type="spellStart"/>
            <w:r w:rsidR="00776390" w:rsidRPr="00272463">
              <w:rPr>
                <w:rFonts w:hint="cs"/>
                <w:sz w:val="26"/>
                <w:rtl/>
              </w:rPr>
              <w:t>שלציד</w:t>
            </w:r>
            <w:r w:rsidR="002614F3" w:rsidRPr="00272463">
              <w:rPr>
                <w:rFonts w:hint="cs"/>
                <w:sz w:val="26"/>
                <w:rtl/>
              </w:rPr>
              <w:t>ם</w:t>
            </w:r>
            <w:proofErr w:type="spellEnd"/>
            <w:r w:rsidR="00776390" w:rsidRPr="00272463">
              <w:rPr>
                <w:rFonts w:hint="cs"/>
                <w:sz w:val="26"/>
                <w:rtl/>
              </w:rPr>
              <w:t xml:space="preserve"> ושינויי הצורה הדקדוקיים המתחייבים י</w:t>
            </w:r>
            <w:r w:rsidR="00272463">
              <w:rPr>
                <w:rFonts w:hint="cs"/>
                <w:sz w:val="26"/>
                <w:rtl/>
              </w:rPr>
              <w:t>י</w:t>
            </w:r>
            <w:r w:rsidR="00776390" w:rsidRPr="00272463">
              <w:rPr>
                <w:rFonts w:hint="cs"/>
                <w:sz w:val="26"/>
                <w:rtl/>
              </w:rPr>
              <w:t>עשו לפי אלה:</w:t>
            </w:r>
          </w:p>
        </w:tc>
      </w:tr>
      <w:tr w:rsidR="00C363DB" w:rsidRPr="00272463" w14:paraId="0844A10C" w14:textId="77777777" w:rsidTr="00C363DB">
        <w:trPr>
          <w:cantSplit/>
          <w:trHeight w:val="60"/>
        </w:trPr>
        <w:tc>
          <w:tcPr>
            <w:tcW w:w="1871" w:type="dxa"/>
          </w:tcPr>
          <w:p w14:paraId="16325B8A" w14:textId="77777777" w:rsidR="00C363DB" w:rsidRPr="00272463" w:rsidRDefault="00C363DB">
            <w:pPr>
              <w:tabs>
                <w:tab w:val="left" w:pos="624"/>
                <w:tab w:val="left" w:pos="1247"/>
              </w:tabs>
              <w:snapToGrid w:val="0"/>
              <w:spacing w:line="360" w:lineRule="auto"/>
              <w:ind w:right="57"/>
              <w:rPr>
                <w:rFonts w:ascii="Arial" w:eastAsia="Arial Unicode MS" w:hAnsi="Arial" w:cs="David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14:paraId="24EE6CB7" w14:textId="77777777" w:rsidR="00C363DB" w:rsidRPr="00272463" w:rsidRDefault="00C363DB">
            <w:pPr>
              <w:keepLines/>
              <w:tabs>
                <w:tab w:val="left" w:pos="624"/>
                <w:tab w:val="left" w:pos="1247"/>
              </w:tabs>
              <w:snapToGrid w:val="0"/>
              <w:spacing w:line="360" w:lineRule="auto"/>
              <w:ind w:right="57"/>
              <w:rPr>
                <w:rFonts w:ascii="Arial" w:eastAsia="Arial Unicode MS" w:hAnsi="Arial" w:cs="David"/>
                <w:snapToGrid w:val="0"/>
                <w:sz w:val="26"/>
                <w:szCs w:val="26"/>
                <w:rtl/>
              </w:rPr>
            </w:pPr>
          </w:p>
        </w:tc>
        <w:tc>
          <w:tcPr>
            <w:tcW w:w="7146" w:type="dxa"/>
            <w:gridSpan w:val="2"/>
            <w:hideMark/>
          </w:tcPr>
          <w:p w14:paraId="69CD6911" w14:textId="53B5E049" w:rsidR="00C363DB" w:rsidRPr="00272463" w:rsidRDefault="005306D9" w:rsidP="002614F3">
            <w:pPr>
              <w:pStyle w:val="TableBlock"/>
              <w:rPr>
                <w:sz w:val="26"/>
                <w:rtl/>
              </w:rPr>
            </w:pPr>
            <w:r w:rsidRPr="00272463">
              <w:rPr>
                <w:rFonts w:hint="cs"/>
                <w:sz w:val="26"/>
                <w:rtl/>
              </w:rPr>
              <w:t>(1)</w:t>
            </w:r>
            <w:r w:rsidRPr="00272463">
              <w:rPr>
                <w:sz w:val="26"/>
                <w:rtl/>
              </w:rPr>
              <w:tab/>
            </w:r>
            <w:r w:rsidR="00C363DB" w:rsidRPr="00272463">
              <w:rPr>
                <w:sz w:val="26"/>
                <w:rtl/>
              </w:rPr>
              <w:t>במקום "נכה" יבוא "אדם עם מוגבלות"</w:t>
            </w:r>
            <w:r w:rsidRPr="00272463">
              <w:rPr>
                <w:rFonts w:hint="cs"/>
                <w:sz w:val="26"/>
                <w:rtl/>
              </w:rPr>
              <w:t>;</w:t>
            </w:r>
            <w:r w:rsidR="00C363DB" w:rsidRPr="00272463">
              <w:rPr>
                <w:sz w:val="26"/>
                <w:rtl/>
              </w:rPr>
              <w:t xml:space="preserve"> </w:t>
            </w:r>
            <w:r w:rsidR="002614F3" w:rsidRPr="00272463">
              <w:rPr>
                <w:rFonts w:hint="cs"/>
                <w:sz w:val="26"/>
                <w:rtl/>
              </w:rPr>
              <w:t xml:space="preserve">ואולם </w:t>
            </w:r>
            <w:r w:rsidR="002614F3" w:rsidRPr="00272463">
              <w:rPr>
                <w:rFonts w:hint="eastAsia"/>
                <w:sz w:val="26"/>
                <w:rtl/>
              </w:rPr>
              <w:t>–</w:t>
            </w:r>
          </w:p>
        </w:tc>
      </w:tr>
      <w:tr w:rsidR="002614F3" w:rsidRPr="00272463" w14:paraId="7BA19A71" w14:textId="77777777">
        <w:trPr>
          <w:cantSplit/>
          <w:trHeight w:val="60"/>
        </w:trPr>
        <w:tc>
          <w:tcPr>
            <w:tcW w:w="1871" w:type="dxa"/>
          </w:tcPr>
          <w:p w14:paraId="4EBA2D4B" w14:textId="77777777" w:rsidR="002614F3" w:rsidRPr="00272463" w:rsidRDefault="002614F3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57687B53" w14:textId="77777777" w:rsidR="002614F3" w:rsidRPr="00272463" w:rsidRDefault="002614F3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5E4FFA43" w14:textId="77777777" w:rsidR="002614F3" w:rsidRPr="00272463" w:rsidRDefault="002614F3">
            <w:pPr>
              <w:pStyle w:val="TableText"/>
              <w:rPr>
                <w:sz w:val="26"/>
              </w:rPr>
            </w:pPr>
          </w:p>
        </w:tc>
        <w:tc>
          <w:tcPr>
            <w:tcW w:w="6522" w:type="dxa"/>
          </w:tcPr>
          <w:p w14:paraId="3D40D7BF" w14:textId="560789FF" w:rsidR="002614F3" w:rsidRPr="00272463" w:rsidRDefault="002614F3" w:rsidP="00272463">
            <w:pPr>
              <w:pStyle w:val="TableBlock"/>
              <w:rPr>
                <w:sz w:val="26"/>
              </w:rPr>
            </w:pPr>
            <w:r w:rsidRPr="00272463">
              <w:rPr>
                <w:rFonts w:hint="cs"/>
                <w:sz w:val="26"/>
                <w:rtl/>
              </w:rPr>
              <w:t>(א)</w:t>
            </w:r>
            <w:r w:rsidRPr="00272463">
              <w:rPr>
                <w:sz w:val="26"/>
                <w:rtl/>
              </w:rPr>
              <w:tab/>
            </w:r>
            <w:r w:rsidRPr="00272463">
              <w:rPr>
                <w:rFonts w:hint="cs"/>
                <w:sz w:val="26"/>
                <w:rtl/>
              </w:rPr>
              <w:t>במקום "נכה עבודה" יבוא "נפגע עבודה";</w:t>
            </w:r>
            <w:r w:rsidRPr="00272463">
              <w:rPr>
                <w:sz w:val="26"/>
                <w:rtl/>
              </w:rPr>
              <w:tab/>
            </w:r>
          </w:p>
        </w:tc>
      </w:tr>
      <w:tr w:rsidR="002614F3" w:rsidRPr="00272463" w14:paraId="17CABC0C" w14:textId="77777777">
        <w:trPr>
          <w:cantSplit/>
          <w:trHeight w:val="60"/>
        </w:trPr>
        <w:tc>
          <w:tcPr>
            <w:tcW w:w="1871" w:type="dxa"/>
          </w:tcPr>
          <w:p w14:paraId="741F4095" w14:textId="77777777" w:rsidR="002614F3" w:rsidRPr="00272463" w:rsidRDefault="002614F3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6DFD8245" w14:textId="77777777" w:rsidR="002614F3" w:rsidRPr="00272463" w:rsidRDefault="002614F3" w:rsidP="002614F3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317B91DF" w14:textId="77777777" w:rsidR="002614F3" w:rsidRPr="00272463" w:rsidRDefault="002614F3">
            <w:pPr>
              <w:pStyle w:val="TableText"/>
              <w:rPr>
                <w:sz w:val="26"/>
              </w:rPr>
            </w:pPr>
          </w:p>
        </w:tc>
        <w:tc>
          <w:tcPr>
            <w:tcW w:w="6522" w:type="dxa"/>
          </w:tcPr>
          <w:p w14:paraId="6C97D4C7" w14:textId="61BF0AC2" w:rsidR="002614F3" w:rsidRPr="00272463" w:rsidRDefault="002614F3" w:rsidP="00272463">
            <w:pPr>
              <w:pStyle w:val="TableBlock"/>
              <w:rPr>
                <w:sz w:val="26"/>
              </w:rPr>
            </w:pPr>
            <w:r w:rsidRPr="00272463">
              <w:rPr>
                <w:rFonts w:hint="cs"/>
                <w:sz w:val="26"/>
                <w:rtl/>
              </w:rPr>
              <w:t>(ב)</w:t>
            </w:r>
            <w:r w:rsidRPr="00272463">
              <w:rPr>
                <w:sz w:val="26"/>
                <w:rtl/>
              </w:rPr>
              <w:tab/>
            </w:r>
            <w:r w:rsidRPr="00272463">
              <w:rPr>
                <w:rFonts w:hint="cs"/>
                <w:sz w:val="26"/>
                <w:rtl/>
              </w:rPr>
              <w:t>במקום "ילד נכה" יבוא "ילד שהוא אדם עם מוגבלות";</w:t>
            </w:r>
          </w:p>
        </w:tc>
      </w:tr>
      <w:tr w:rsidR="002614F3" w:rsidRPr="00272463" w14:paraId="308EC474" w14:textId="77777777">
        <w:trPr>
          <w:cantSplit/>
          <w:trHeight w:val="60"/>
        </w:trPr>
        <w:tc>
          <w:tcPr>
            <w:tcW w:w="1871" w:type="dxa"/>
          </w:tcPr>
          <w:p w14:paraId="6078D3E9" w14:textId="77777777" w:rsidR="002614F3" w:rsidRPr="00272463" w:rsidRDefault="002614F3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1666771A" w14:textId="77777777" w:rsidR="002614F3" w:rsidRPr="00272463" w:rsidRDefault="002614F3" w:rsidP="002614F3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73F3D1AC" w14:textId="77777777" w:rsidR="002614F3" w:rsidRPr="00272463" w:rsidRDefault="002614F3">
            <w:pPr>
              <w:pStyle w:val="TableText"/>
              <w:rPr>
                <w:sz w:val="26"/>
              </w:rPr>
            </w:pPr>
          </w:p>
        </w:tc>
        <w:tc>
          <w:tcPr>
            <w:tcW w:w="6522" w:type="dxa"/>
          </w:tcPr>
          <w:p w14:paraId="6BBF9A49" w14:textId="559BCA1B" w:rsidR="002614F3" w:rsidRPr="00272463" w:rsidRDefault="002614F3" w:rsidP="00272463">
            <w:pPr>
              <w:pStyle w:val="TableBlock"/>
              <w:rPr>
                <w:sz w:val="26"/>
                <w:rtl/>
              </w:rPr>
            </w:pPr>
            <w:r w:rsidRPr="00272463">
              <w:rPr>
                <w:rFonts w:hint="cs"/>
                <w:sz w:val="26"/>
                <w:rtl/>
              </w:rPr>
              <w:t>(ג)</w:t>
            </w:r>
            <w:r w:rsidRPr="00272463">
              <w:rPr>
                <w:sz w:val="26"/>
                <w:rtl/>
              </w:rPr>
              <w:tab/>
            </w:r>
            <w:r w:rsidRPr="00272463">
              <w:rPr>
                <w:rFonts w:hint="cs"/>
                <w:sz w:val="26"/>
                <w:rtl/>
              </w:rPr>
              <w:t>במקום "עקרת בית נכה" יבוא "עקרת בית שה</w:t>
            </w:r>
            <w:r w:rsidR="00272463">
              <w:rPr>
                <w:rFonts w:hint="cs"/>
                <w:sz w:val="26"/>
                <w:rtl/>
              </w:rPr>
              <w:t>י</w:t>
            </w:r>
            <w:r w:rsidRPr="00272463">
              <w:rPr>
                <w:rFonts w:hint="cs"/>
                <w:sz w:val="26"/>
                <w:rtl/>
              </w:rPr>
              <w:t>א אדם עם מוגבלות";</w:t>
            </w:r>
          </w:p>
        </w:tc>
      </w:tr>
      <w:tr w:rsidR="00776390" w:rsidRPr="00272463" w14:paraId="50A3D33F" w14:textId="77777777" w:rsidTr="00C363DB">
        <w:trPr>
          <w:cantSplit/>
          <w:trHeight w:val="60"/>
        </w:trPr>
        <w:tc>
          <w:tcPr>
            <w:tcW w:w="1871" w:type="dxa"/>
          </w:tcPr>
          <w:p w14:paraId="6DDADA7F" w14:textId="77777777" w:rsidR="00776390" w:rsidRPr="00272463" w:rsidRDefault="00776390" w:rsidP="002C3041">
            <w:pPr>
              <w:pStyle w:val="TableSideHeading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14:paraId="7FFD3158" w14:textId="77777777" w:rsidR="00776390" w:rsidRPr="00272463" w:rsidRDefault="00776390" w:rsidP="002C3041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7146" w:type="dxa"/>
            <w:gridSpan w:val="2"/>
          </w:tcPr>
          <w:p w14:paraId="2F5AFCDF" w14:textId="7A728BE8" w:rsidR="00776390" w:rsidRPr="00272463" w:rsidRDefault="00776390" w:rsidP="002614F3">
            <w:pPr>
              <w:pStyle w:val="TableBlock"/>
              <w:keepLines w:val="0"/>
              <w:rPr>
                <w:sz w:val="26"/>
                <w:rtl/>
              </w:rPr>
            </w:pPr>
            <w:r w:rsidRPr="00272463">
              <w:rPr>
                <w:rFonts w:hint="cs"/>
                <w:sz w:val="26"/>
                <w:rtl/>
              </w:rPr>
              <w:t>(</w:t>
            </w:r>
            <w:r w:rsidR="002614F3" w:rsidRPr="00272463">
              <w:rPr>
                <w:rFonts w:hint="cs"/>
                <w:sz w:val="26"/>
                <w:rtl/>
              </w:rPr>
              <w:t>2</w:t>
            </w:r>
            <w:r w:rsidRPr="00272463">
              <w:rPr>
                <w:rFonts w:hint="cs"/>
                <w:sz w:val="26"/>
                <w:rtl/>
              </w:rPr>
              <w:t>)</w:t>
            </w:r>
            <w:r w:rsidRPr="00272463">
              <w:rPr>
                <w:sz w:val="26"/>
                <w:rtl/>
              </w:rPr>
              <w:tab/>
            </w:r>
            <w:r w:rsidRPr="00272463">
              <w:rPr>
                <w:rFonts w:hint="cs"/>
                <w:sz w:val="26"/>
                <w:rtl/>
              </w:rPr>
              <w:t>במקום "נכות" יבוא "מוגבלות".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58B09741" w14:textId="24025468" w:rsidR="003A70D6" w:rsidRDefault="003A70D6" w:rsidP="00272463">
      <w:pPr>
        <w:pStyle w:val="Hesber"/>
        <w:rPr>
          <w:rtl/>
        </w:rPr>
      </w:pPr>
      <w:r>
        <w:rPr>
          <w:rFonts w:hint="cs"/>
          <w:rtl/>
        </w:rPr>
        <w:t>השימוש במונח נכה</w:t>
      </w:r>
      <w:r w:rsidRPr="00C363DB">
        <w:rPr>
          <w:rFonts w:hint="cs"/>
          <w:rtl/>
        </w:rPr>
        <w:t xml:space="preserve"> נחשב בשפת היום</w:t>
      </w:r>
      <w:r w:rsidR="00272463">
        <w:rPr>
          <w:rFonts w:hint="cs"/>
          <w:rtl/>
        </w:rPr>
        <w:t xml:space="preserve"> </w:t>
      </w:r>
      <w:r w:rsidRPr="00C363DB">
        <w:rPr>
          <w:rFonts w:hint="cs"/>
          <w:rtl/>
        </w:rPr>
        <w:t>יום לפוגעני, והוא אינו עולה בקנה אחד עם המגמה להגן על כבודם של אנשים עם מוגבלות ולהבטיח את זכותם להשתתפות שוויונית ו</w:t>
      </w:r>
      <w:r w:rsidR="00272463">
        <w:rPr>
          <w:rFonts w:hint="cs"/>
          <w:rtl/>
        </w:rPr>
        <w:t xml:space="preserve">פעילה בחברה בכל תחומי החיים, על </w:t>
      </w:r>
      <w:r w:rsidRPr="00C363DB">
        <w:rPr>
          <w:rFonts w:hint="cs"/>
          <w:rtl/>
        </w:rPr>
        <w:t xml:space="preserve">פי עקרונות חוק שוויון זכויות לאנשים עם מוגבלות, </w:t>
      </w:r>
      <w:proofErr w:type="spellStart"/>
      <w:r w:rsidRPr="00C363DB">
        <w:rPr>
          <w:rFonts w:hint="cs"/>
          <w:rtl/>
        </w:rPr>
        <w:t>התשנ"ח</w:t>
      </w:r>
      <w:proofErr w:type="spellEnd"/>
      <w:r w:rsidRPr="00C363DB">
        <w:rPr>
          <w:rFonts w:hint="cs"/>
          <w:rtl/>
        </w:rPr>
        <w:t>–1998</w:t>
      </w:r>
      <w:r w:rsidR="00DF436B">
        <w:rPr>
          <w:rFonts w:hint="cs"/>
          <w:rtl/>
        </w:rPr>
        <w:t>.</w:t>
      </w:r>
    </w:p>
    <w:p w14:paraId="117E0C1A" w14:textId="503FC4BA" w:rsidR="00C363DB" w:rsidRPr="00776390" w:rsidRDefault="00C363DB" w:rsidP="005F6DC8">
      <w:pPr>
        <w:pStyle w:val="Hesber"/>
      </w:pPr>
      <w:r w:rsidRPr="00776390">
        <w:rPr>
          <w:rtl/>
        </w:rPr>
        <w:t xml:space="preserve">לפיכך, מוצע </w:t>
      </w:r>
      <w:r w:rsidR="00272463">
        <w:rPr>
          <w:rFonts w:hint="cs"/>
          <w:rtl/>
        </w:rPr>
        <w:t>להחליף</w:t>
      </w:r>
      <w:r w:rsidR="005306D9" w:rsidRPr="00776390">
        <w:rPr>
          <w:rtl/>
        </w:rPr>
        <w:t xml:space="preserve"> </w:t>
      </w:r>
      <w:r w:rsidR="002614F3" w:rsidRPr="00776390">
        <w:rPr>
          <w:rtl/>
        </w:rPr>
        <w:t>בח</w:t>
      </w:r>
      <w:r w:rsidR="002614F3">
        <w:rPr>
          <w:rFonts w:hint="cs"/>
          <w:rtl/>
        </w:rPr>
        <w:t xml:space="preserve">וק הביטוח הלאומי [נוסח משולב], </w:t>
      </w:r>
      <w:proofErr w:type="spellStart"/>
      <w:r w:rsidR="002614F3">
        <w:rPr>
          <w:rFonts w:hint="cs"/>
          <w:rtl/>
        </w:rPr>
        <w:t>התשנ</w:t>
      </w:r>
      <w:proofErr w:type="spellEnd"/>
      <w:r w:rsidR="002614F3">
        <w:rPr>
          <w:rFonts w:hint="cs"/>
          <w:rtl/>
        </w:rPr>
        <w:t>''ה</w:t>
      </w:r>
      <w:r w:rsidR="002614F3">
        <w:rPr>
          <w:rFonts w:hint="eastAsia"/>
          <w:rtl/>
        </w:rPr>
        <w:t>–</w:t>
      </w:r>
      <w:r w:rsidR="002614F3">
        <w:rPr>
          <w:rFonts w:hint="cs"/>
          <w:rtl/>
        </w:rPr>
        <w:t>1995,</w:t>
      </w:r>
      <w:r w:rsidR="002614F3" w:rsidRPr="00776390">
        <w:rPr>
          <w:rtl/>
        </w:rPr>
        <w:t xml:space="preserve"> </w:t>
      </w:r>
      <w:r w:rsidRPr="00776390">
        <w:rPr>
          <w:rtl/>
        </w:rPr>
        <w:t xml:space="preserve">את המונח "נכה" במונח </w:t>
      </w:r>
      <w:r w:rsidRPr="00776390">
        <w:rPr>
          <w:rtl/>
        </w:rPr>
        <w:lastRenderedPageBreak/>
        <w:t>"אדם עם מוגבלות" ש</w:t>
      </w:r>
      <w:r w:rsidR="00272463">
        <w:rPr>
          <w:rFonts w:hint="cs"/>
          <w:rtl/>
        </w:rPr>
        <w:t>הוא</w:t>
      </w:r>
      <w:r w:rsidRPr="00776390">
        <w:rPr>
          <w:rtl/>
        </w:rPr>
        <w:t xml:space="preserve"> המונח השגור כיום בקרב אנשי המקצוע, והוא אינו ביטוי</w:t>
      </w:r>
      <w:r w:rsidR="00E55F14">
        <w:rPr>
          <w:rFonts w:hint="cs"/>
          <w:rtl/>
        </w:rPr>
        <w:t xml:space="preserve"> פוגעני</w:t>
      </w:r>
      <w:r w:rsidR="002614F3">
        <w:rPr>
          <w:rFonts w:hint="cs"/>
          <w:rtl/>
        </w:rPr>
        <w:t xml:space="preserve">, </w:t>
      </w:r>
      <w:r w:rsidR="00272463">
        <w:rPr>
          <w:rFonts w:hint="cs"/>
          <w:rtl/>
        </w:rPr>
        <w:t xml:space="preserve">וכן להחליף </w:t>
      </w:r>
      <w:r w:rsidR="002614F3">
        <w:rPr>
          <w:rFonts w:hint="cs"/>
          <w:rtl/>
        </w:rPr>
        <w:t>את המונח "נכות" במונח "מוגבלות"</w:t>
      </w:r>
      <w:r w:rsidR="00272463">
        <w:rPr>
          <w:rFonts w:hint="cs"/>
          <w:rtl/>
        </w:rPr>
        <w:t xml:space="preserve">. </w:t>
      </w:r>
      <w:r w:rsidR="002614F3">
        <w:rPr>
          <w:rFonts w:hint="cs"/>
          <w:rtl/>
        </w:rPr>
        <w:t>בהתאמה מוצ</w:t>
      </w:r>
      <w:r w:rsidR="005F6DC8">
        <w:rPr>
          <w:rFonts w:hint="cs"/>
          <w:rtl/>
        </w:rPr>
        <w:t>ע</w:t>
      </w:r>
      <w:r w:rsidR="002614F3">
        <w:rPr>
          <w:rFonts w:hint="cs"/>
          <w:rtl/>
        </w:rPr>
        <w:t xml:space="preserve">ים גם תיקונים בצירוף "נכה עבודה", "ילד נכה" ו"עקרת בית נכה". </w:t>
      </w:r>
      <w:r w:rsidR="00E55F14">
        <w:rPr>
          <w:rFonts w:hint="cs"/>
          <w:rtl/>
        </w:rPr>
        <w:t xml:space="preserve"> </w:t>
      </w:r>
    </w:p>
    <w:p w14:paraId="44C4BE9B" w14:textId="77777777" w:rsidR="003A70D6" w:rsidRDefault="003A70D6" w:rsidP="003A70D6">
      <w:pPr>
        <w:snapToGrid w:val="0"/>
        <w:spacing w:before="0" w:line="360" w:lineRule="auto"/>
        <w:ind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C363DB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יודגש כי אין בהחלפת המונח כדי לשנות את המשמעות שהייתה בדברי החקיקה, והיא אינה מוסיפה או גורעת מהפרשנות שניתנה להם.</w:t>
      </w:r>
    </w:p>
    <w:p w14:paraId="1B60A58F" w14:textId="66C26D2F" w:rsidR="00272463" w:rsidRDefault="00272463" w:rsidP="003A70D6">
      <w:pPr>
        <w:snapToGrid w:val="0"/>
        <w:spacing w:before="0" w:line="360" w:lineRule="auto"/>
        <w:ind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</w:p>
    <w:p w14:paraId="5E93CA3D" w14:textId="77777777" w:rsidR="00272463" w:rsidRDefault="00272463" w:rsidP="003A70D6">
      <w:pPr>
        <w:snapToGrid w:val="0"/>
        <w:spacing w:before="0" w:line="360" w:lineRule="auto"/>
        <w:ind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</w:p>
    <w:p w14:paraId="0B23C85A" w14:textId="77777777" w:rsidR="00272463" w:rsidRPr="00D73212" w:rsidRDefault="00272463" w:rsidP="00272463">
      <w:pPr>
        <w:pStyle w:val="Hesber"/>
        <w:rPr>
          <w:color w:val="auto"/>
          <w:rtl/>
          <w:lang w:eastAsia="en-US"/>
        </w:rPr>
      </w:pPr>
      <w:bookmarkStart w:id="8" w:name="_GoBack"/>
      <w:r w:rsidRPr="00D73212">
        <w:rPr>
          <w:color w:val="auto"/>
          <w:rtl/>
          <w:lang w:eastAsia="en-US"/>
        </w:rPr>
        <w:t>---------------------------------</w:t>
      </w:r>
    </w:p>
    <w:p w14:paraId="76C9DBEA" w14:textId="77777777" w:rsidR="00272463" w:rsidRPr="00D73212" w:rsidRDefault="00272463" w:rsidP="00272463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39069B31" w14:textId="77777777" w:rsidR="00272463" w:rsidRPr="00D73212" w:rsidRDefault="00272463" w:rsidP="00272463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4D7C71F4" w14:textId="77777777" w:rsidR="00272463" w:rsidRPr="00317312" w:rsidRDefault="00272463" w:rsidP="00272463">
      <w:pPr>
        <w:pStyle w:val="Hesber"/>
      </w:pPr>
      <w:r>
        <w:rPr>
          <w:rFonts w:hint="cs"/>
          <w:color w:val="auto"/>
          <w:rtl/>
          <w:lang w:eastAsia="en-US"/>
        </w:rPr>
        <w:t>כ"ז בחשוון</w:t>
      </w:r>
      <w:r w:rsidRPr="00D73212">
        <w:rPr>
          <w:color w:val="auto"/>
          <w:rtl/>
          <w:lang w:eastAsia="en-US"/>
        </w:rPr>
        <w:t xml:space="preserve"> </w:t>
      </w:r>
      <w:proofErr w:type="spellStart"/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ט</w:t>
      </w:r>
      <w:proofErr w:type="spellEnd"/>
      <w:r>
        <w:rPr>
          <w:rFonts w:hint="cs"/>
          <w:color w:val="auto"/>
          <w:rtl/>
          <w:lang w:eastAsia="en-US"/>
        </w:rPr>
        <w:t xml:space="preserve"> </w:t>
      </w:r>
      <w:r w:rsidRPr="00D73212">
        <w:rPr>
          <w:color w:val="auto"/>
          <w:rtl/>
          <w:lang w:eastAsia="en-US"/>
        </w:rPr>
        <w:t>–</w:t>
      </w:r>
      <w:r>
        <w:rPr>
          <w:rFonts w:hint="cs"/>
          <w:color w:val="auto"/>
          <w:rtl/>
          <w:lang w:eastAsia="en-US"/>
        </w:rPr>
        <w:t xml:space="preserve"> 5.11</w:t>
      </w:r>
      <w:r w:rsidRPr="00D73212">
        <w:rPr>
          <w:color w:val="auto"/>
          <w:rtl/>
          <w:lang w:eastAsia="en-US"/>
        </w:rPr>
        <w:t>.</w:t>
      </w:r>
      <w:r>
        <w:rPr>
          <w:rFonts w:hint="cs"/>
          <w:color w:val="auto"/>
          <w:rtl/>
          <w:lang w:eastAsia="en-US"/>
        </w:rPr>
        <w:t xml:space="preserve">18   </w:t>
      </w:r>
    </w:p>
    <w:bookmarkEnd w:id="8"/>
    <w:p w14:paraId="4838BFA4" w14:textId="77777777" w:rsidR="00272463" w:rsidRPr="00C363DB" w:rsidRDefault="00272463" w:rsidP="003A70D6">
      <w:pPr>
        <w:snapToGrid w:val="0"/>
        <w:spacing w:before="0" w:line="360" w:lineRule="auto"/>
        <w:ind w:firstLine="0"/>
        <w:rPr>
          <w:rFonts w:ascii="Arial" w:eastAsia="Arial Unicode MS" w:hAnsi="Arial" w:cs="David"/>
          <w:snapToGrid w:val="0"/>
          <w:spacing w:val="0"/>
          <w:sz w:val="20"/>
          <w:szCs w:val="26"/>
        </w:rPr>
      </w:pPr>
    </w:p>
    <w:p w14:paraId="7F6961CB" w14:textId="77777777" w:rsidR="00E13C27" w:rsidRPr="00C363DB" w:rsidRDefault="00E13C27" w:rsidP="00E13C27">
      <w:pPr>
        <w:pStyle w:val="Hesber"/>
        <w:rPr>
          <w:rtl/>
        </w:rPr>
      </w:pPr>
    </w:p>
    <w:sectPr w:rsidR="00E13C27" w:rsidRPr="00C363DB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B4C1" w14:textId="77777777" w:rsidR="00D142D3" w:rsidRDefault="00D142D3">
      <w:r>
        <w:separator/>
      </w:r>
    </w:p>
  </w:endnote>
  <w:endnote w:type="continuationSeparator" w:id="0">
    <w:p w14:paraId="0E546755" w14:textId="77777777" w:rsidR="00D142D3" w:rsidRDefault="00D142D3">
      <w:r>
        <w:continuationSeparator/>
      </w:r>
    </w:p>
  </w:endnote>
  <w:endnote w:type="continuationNotice" w:id="1">
    <w:p w14:paraId="24369900" w14:textId="77777777" w:rsidR="00D142D3" w:rsidRDefault="00D142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7F6961D6" w14:textId="77777777" w:rsidR="002C3041" w:rsidRDefault="002C30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8111FD">
      <w:rPr>
        <w:rStyle w:val="ab"/>
        <w:noProof/>
        <w:rtl/>
      </w:rPr>
      <w:t>2</w:t>
    </w:r>
    <w:r>
      <w:rPr>
        <w:rStyle w:val="ab"/>
        <w:rtl/>
      </w:rPr>
      <w:fldChar w:fldCharType="end"/>
    </w:r>
  </w:p>
  <w:p w14:paraId="7F6961D8" w14:textId="77777777" w:rsidR="002C3041" w:rsidRDefault="002C30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674C0" w14:textId="77777777" w:rsidR="00D142D3" w:rsidRDefault="00D142D3" w:rsidP="005306D9">
      <w:r>
        <w:separator/>
      </w:r>
    </w:p>
  </w:footnote>
  <w:footnote w:type="continuationSeparator" w:id="0">
    <w:p w14:paraId="401CF485" w14:textId="77777777" w:rsidR="00D142D3" w:rsidRDefault="00D142D3">
      <w:r>
        <w:continuationSeparator/>
      </w:r>
    </w:p>
  </w:footnote>
  <w:footnote w:type="continuationNotice" w:id="1">
    <w:p w14:paraId="173A6451" w14:textId="77777777" w:rsidR="00D142D3" w:rsidRDefault="00D142D3"/>
  </w:footnote>
  <w:footnote w:id="2">
    <w:p w14:paraId="4BE3041A" w14:textId="16EF5677" w:rsidR="00C363DB" w:rsidRPr="00C363DB" w:rsidRDefault="00C363DB" w:rsidP="005306D9">
      <w:pPr>
        <w:pStyle w:val="a4"/>
        <w:rPr>
          <w:rFonts w:asciiTheme="minorHAnsi" w:eastAsiaTheme="minorHAnsi" w:hAnsiTheme="minorHAnsi" w:cstheme="minorBidi"/>
          <w:snapToGrid/>
          <w:color w:val="auto"/>
          <w:sz w:val="20"/>
          <w:rtl/>
          <w:lang w:eastAsia="en-US"/>
        </w:rPr>
      </w:pPr>
      <w:r>
        <w:rPr>
          <w:rStyle w:val="a6"/>
        </w:rPr>
        <w:footnoteRef/>
      </w:r>
      <w:r w:rsidR="005306D9">
        <w:rPr>
          <w:rFonts w:hint="cs"/>
          <w:rtl/>
        </w:rPr>
        <w:t xml:space="preserve"> </w:t>
      </w:r>
      <w:proofErr w:type="spellStart"/>
      <w:r w:rsidR="005306D9">
        <w:rPr>
          <w:rFonts w:hint="cs"/>
          <w:rtl/>
        </w:rPr>
        <w:t>ס''ח</w:t>
      </w:r>
      <w:proofErr w:type="spellEnd"/>
      <w:r w:rsidR="005306D9">
        <w:rPr>
          <w:rFonts w:hint="cs"/>
          <w:rtl/>
        </w:rPr>
        <w:t xml:space="preserve"> </w:t>
      </w:r>
      <w:proofErr w:type="spellStart"/>
      <w:r w:rsidR="005306D9">
        <w:rPr>
          <w:rFonts w:hint="cs"/>
          <w:rtl/>
        </w:rPr>
        <w:t>התשנ</w:t>
      </w:r>
      <w:proofErr w:type="spellEnd"/>
      <w:r w:rsidR="005306D9">
        <w:rPr>
          <w:rFonts w:hint="cs"/>
          <w:rtl/>
        </w:rPr>
        <w:t xml:space="preserve">''ה, עמ' 210.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0D08A4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14F3"/>
    <w:rsid w:val="00266D86"/>
    <w:rsid w:val="00272463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6422C"/>
    <w:rsid w:val="003710F6"/>
    <w:rsid w:val="00386E88"/>
    <w:rsid w:val="00396585"/>
    <w:rsid w:val="003A70D6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5306D9"/>
    <w:rsid w:val="00553C9D"/>
    <w:rsid w:val="00562A66"/>
    <w:rsid w:val="005B064E"/>
    <w:rsid w:val="005D51AE"/>
    <w:rsid w:val="005F6DC8"/>
    <w:rsid w:val="0062674B"/>
    <w:rsid w:val="006363B2"/>
    <w:rsid w:val="00644940"/>
    <w:rsid w:val="006818A9"/>
    <w:rsid w:val="006A2D81"/>
    <w:rsid w:val="006C1D0D"/>
    <w:rsid w:val="0070601E"/>
    <w:rsid w:val="00712C72"/>
    <w:rsid w:val="00735FE9"/>
    <w:rsid w:val="00763CAA"/>
    <w:rsid w:val="00765F66"/>
    <w:rsid w:val="00776390"/>
    <w:rsid w:val="0078664F"/>
    <w:rsid w:val="007A27CE"/>
    <w:rsid w:val="007C3FA6"/>
    <w:rsid w:val="007D585A"/>
    <w:rsid w:val="007D5A12"/>
    <w:rsid w:val="007E59F9"/>
    <w:rsid w:val="00810BCD"/>
    <w:rsid w:val="008111F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10EB"/>
    <w:rsid w:val="00C363DB"/>
    <w:rsid w:val="00C9176A"/>
    <w:rsid w:val="00CE121D"/>
    <w:rsid w:val="00CF1AA2"/>
    <w:rsid w:val="00D142D3"/>
    <w:rsid w:val="00D17774"/>
    <w:rsid w:val="00D63620"/>
    <w:rsid w:val="00D8410D"/>
    <w:rsid w:val="00D867D7"/>
    <w:rsid w:val="00DA75F3"/>
    <w:rsid w:val="00DB7060"/>
    <w:rsid w:val="00DE3153"/>
    <w:rsid w:val="00DF436B"/>
    <w:rsid w:val="00E06736"/>
    <w:rsid w:val="00E13C27"/>
    <w:rsid w:val="00E33BBD"/>
    <w:rsid w:val="00E374F2"/>
    <w:rsid w:val="00E45103"/>
    <w:rsid w:val="00E55A60"/>
    <w:rsid w:val="00E55F14"/>
    <w:rsid w:val="00E62778"/>
    <w:rsid w:val="00E635A2"/>
    <w:rsid w:val="00E63D38"/>
    <w:rsid w:val="00E665B9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D6C04AA4-DB74-4406-9DED-DD4945A5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uiPriority w:val="99"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8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c">
    <w:name w:val="Balloon Text"/>
    <w:basedOn w:val="a"/>
    <w:link w:val="ad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5">
    <w:name w:val="טקסט הערת שוליים תו"/>
    <w:basedOn w:val="a0"/>
    <w:link w:val="a4"/>
    <w:uiPriority w:val="99"/>
    <w:semiHidden/>
    <w:rsid w:val="00C363DB"/>
    <w:rPr>
      <w:rFonts w:ascii="Arial" w:eastAsia="Arial Unicode MS" w:hAnsi="Arial" w:cs="David"/>
      <w:snapToGrid w:val="0"/>
      <w:color w:val="000000"/>
      <w:sz w:val="14"/>
      <w:lang w:eastAsia="ja-JP"/>
    </w:rPr>
  </w:style>
  <w:style w:type="character" w:styleId="Hyperlink">
    <w:name w:val="Hyperlink"/>
    <w:basedOn w:val="a0"/>
    <w:unhideWhenUsed/>
    <w:rsid w:val="00C36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085AFE-8D3C-410D-A6FE-AFB23CBDC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243B2A-F05A-4F01-975B-1285A54A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256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לילך יעיש</cp:lastModifiedBy>
  <cp:revision>12</cp:revision>
  <cp:lastPrinted>2018-11-01T08:36:00Z</cp:lastPrinted>
  <dcterms:created xsi:type="dcterms:W3CDTF">2015-04-20T09:58:00Z</dcterms:created>
  <dcterms:modified xsi:type="dcterms:W3CDTF">2018-11-01T08:49:00Z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2074668</vt:r8>
  </property>
</Properties>
</file>