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2023758</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נאוה בוקר</w:t>
      </w:r>
      <w:r>
        <w:br/>
      </w:r>
      <w:r>
        <w:rPr>
          <w:rFonts w:hint="cs"/>
          <w:b/>
          <w:bCs/>
          <w:rtl/>
        </w:rPr>
        <w:t xml:space="preserve"> </w:t>
      </w:r>
      <w:r>
        <w:tab/>
      </w:r>
      <w:r>
        <w:tab/>
      </w:r>
      <w:r>
        <w:tab/>
      </w:r>
      <w:r>
        <w:tab/>
      </w:r>
      <w:r>
        <w:rPr>
          <w:rFonts w:hint="cs"/>
          <w:b/>
          <w:bCs/>
          <w:rtl/>
        </w:rPr>
        <w:t>יואב קיש</w:t>
      </w:r>
      <w:r>
        <w:br/>
      </w:r>
      <w:r>
        <w:rPr>
          <w:rFonts w:hint="cs"/>
          <w:b/>
          <w:bCs/>
          <w:rtl/>
        </w:rPr>
        <w:t xml:space="preserve"> </w:t>
      </w:r>
      <w:r>
        <w:tab/>
      </w:r>
      <w:r>
        <w:tab/>
      </w:r>
      <w:r>
        <w:tab/>
      </w:r>
      <w:r>
        <w:tab/>
      </w:r>
      <w:r>
        <w:rPr>
          <w:rFonts w:hint="cs"/>
          <w:b/>
          <w:bCs/>
          <w:rtl/>
        </w:rPr>
        <w:t>דוד ביטן</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586164B8" w:rsidR="00E13C27" w:rsidRDefault="00904591" w:rsidP="00743463">
      <w:pPr>
        <w:pStyle w:val="David"/>
        <w:spacing w:before="0" w:line="240" w:lineRule="auto"/>
        <w:ind w:left="3544"/>
        <w:rPr>
          <w:rtl/>
        </w:rPr>
      </w:pPr>
      <w:r>
        <w:t xml:space="preserve">                                            </w:t>
      </w:r>
      <w:r w:rsidR="008F1308">
        <w:t xml:space="preserve"> </w:t>
      </w:r>
      <w:bookmarkStart w:id="6" w:name="Private_Number"/>
      <w:r>
        <w:rPr>
          <w:rFonts w:hint="cs"/>
          <w:rtl/>
        </w:rPr>
        <w:t>פ/5015/20</w:t>
      </w:r>
      <w:bookmarkEnd w:id="6"/>
    </w:p>
    <w:p w14:paraId="7F6961AD" w14:textId="05C69D90" w:rsidR="00E13C27" w:rsidRDefault="00A443CF" w:rsidP="00372CDC">
      <w:pPr>
        <w:pStyle w:val="HeadHatzaotHok"/>
        <w:rPr>
          <w:rtl/>
        </w:rPr>
      </w:pPr>
      <w:bookmarkStart w:id="7" w:name="LGS_Subject"/>
      <w:r>
        <w:rPr>
          <w:rFonts w:hint="cs"/>
          <w:rtl/>
        </w:rPr>
        <w:t>הצעת חוק העונשין (תיקון – עונש מוות לפעילי טרור מרצחים), התשע"ח–2018</w:t>
      </w:r>
      <w:bookmarkEnd w:id="7"/>
    </w:p>
    <w:p w14:paraId="12286BC2" w14:textId="77777777" w:rsidR="00743463" w:rsidRDefault="00743463" w:rsidP="001F22F5">
      <w:pPr>
        <w:pStyle w:val="HeadHatzaotHok"/>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1248"/>
        <w:gridCol w:w="624"/>
        <w:gridCol w:w="4650"/>
      </w:tblGrid>
      <w:tr w:rsidR="00DC0328" w14:paraId="4106D5E9" w14:textId="77777777" w:rsidTr="00730B5C">
        <w:trPr>
          <w:cantSplit/>
          <w:trHeight w:val="60"/>
        </w:trPr>
        <w:tc>
          <w:tcPr>
            <w:tcW w:w="1871" w:type="dxa"/>
          </w:tcPr>
          <w:p w14:paraId="5FA3DE3A" w14:textId="5202BA82" w:rsidR="00DC0328" w:rsidRDefault="00DC0328" w:rsidP="00730B5C">
            <w:pPr>
              <w:pStyle w:val="TableSideHeading"/>
              <w:keepLines w:val="0"/>
            </w:pPr>
            <w:r>
              <w:rPr>
                <w:rFonts w:hint="cs"/>
                <w:sz w:val="24"/>
                <w:szCs w:val="24"/>
                <w:rtl/>
              </w:rPr>
              <w:t>תיקון סעיף 96</w:t>
            </w:r>
          </w:p>
        </w:tc>
        <w:tc>
          <w:tcPr>
            <w:tcW w:w="624" w:type="dxa"/>
          </w:tcPr>
          <w:p w14:paraId="2C913029" w14:textId="73AB4F4E" w:rsidR="00DC0328" w:rsidRDefault="00DC0328" w:rsidP="00730B5C">
            <w:pPr>
              <w:pStyle w:val="TableText"/>
              <w:keepLines w:val="0"/>
            </w:pPr>
            <w:r w:rsidRPr="00DC0328">
              <w:rPr>
                <w:rFonts w:hint="cs"/>
                <w:sz w:val="24"/>
                <w:szCs w:val="24"/>
                <w:rtl/>
              </w:rPr>
              <w:t>1.</w:t>
            </w:r>
          </w:p>
        </w:tc>
        <w:tc>
          <w:tcPr>
            <w:tcW w:w="7146" w:type="dxa"/>
            <w:gridSpan w:val="4"/>
          </w:tcPr>
          <w:p w14:paraId="58F16D9C" w14:textId="661C8DFA" w:rsidR="00DC0328" w:rsidRPr="00DC0328" w:rsidRDefault="00DC0328" w:rsidP="008E3ADB">
            <w:pPr>
              <w:pStyle w:val="TableHead"/>
              <w:keepLines w:val="0"/>
              <w:jc w:val="both"/>
              <w:rPr>
                <w:b w:val="0"/>
                <w:bCs w:val="0"/>
              </w:rPr>
            </w:pPr>
            <w:r w:rsidRPr="00DC0328">
              <w:rPr>
                <w:rFonts w:ascii="David" w:hAnsi="David" w:hint="cs"/>
                <w:b w:val="0"/>
                <w:bCs w:val="0"/>
                <w:sz w:val="24"/>
                <w:rtl/>
              </w:rPr>
              <w:t>ב</w:t>
            </w:r>
            <w:r w:rsidRPr="00DC0328">
              <w:rPr>
                <w:rFonts w:ascii="David" w:hAnsi="David"/>
                <w:b w:val="0"/>
                <w:bCs w:val="0"/>
                <w:sz w:val="24"/>
                <w:rtl/>
              </w:rPr>
              <w:t xml:space="preserve">חוק העונשין, </w:t>
            </w:r>
            <w:r w:rsidR="009D4C59">
              <w:rPr>
                <w:rFonts w:ascii="David" w:hAnsi="David" w:hint="cs"/>
                <w:b w:val="0"/>
                <w:bCs w:val="0"/>
                <w:sz w:val="24"/>
                <w:rtl/>
              </w:rPr>
              <w:t>התשל"ז</w:t>
            </w:r>
            <w:r w:rsidRPr="00DC0328">
              <w:rPr>
                <w:rFonts w:ascii="David" w:hAnsi="David" w:hint="cs"/>
                <w:b w:val="0"/>
                <w:bCs w:val="0"/>
                <w:sz w:val="24"/>
                <w:rtl/>
              </w:rPr>
              <w:t>–</w:t>
            </w:r>
            <w:r w:rsidRPr="00DC0328">
              <w:rPr>
                <w:rFonts w:ascii="David" w:hAnsi="David"/>
                <w:b w:val="0"/>
                <w:bCs w:val="0"/>
                <w:sz w:val="24"/>
                <w:rtl/>
              </w:rPr>
              <w:t>1977</w:t>
            </w:r>
            <w:r w:rsidRPr="00DC0328">
              <w:rPr>
                <w:rStyle w:val="a5"/>
                <w:rFonts w:ascii="David" w:hAnsi="David"/>
                <w:b w:val="0"/>
                <w:bCs w:val="0"/>
                <w:sz w:val="24"/>
                <w:rtl/>
              </w:rPr>
              <w:footnoteReference w:id="2"/>
            </w:r>
            <w:r w:rsidRPr="00DC0328">
              <w:rPr>
                <w:rFonts w:ascii="David" w:hAnsi="David"/>
                <w:b w:val="0"/>
                <w:bCs w:val="0"/>
                <w:sz w:val="24"/>
                <w:rtl/>
              </w:rPr>
              <w:t xml:space="preserve"> (להלן</w:t>
            </w:r>
            <w:r w:rsidRPr="00DC0328">
              <w:rPr>
                <w:rFonts w:ascii="David" w:hAnsi="David" w:hint="cs"/>
                <w:b w:val="0"/>
                <w:bCs w:val="0"/>
                <w:sz w:val="24"/>
                <w:rtl/>
              </w:rPr>
              <w:t xml:space="preserve"> –</w:t>
            </w:r>
            <w:r w:rsidRPr="00DC0328">
              <w:rPr>
                <w:rFonts w:ascii="David" w:hAnsi="David"/>
                <w:b w:val="0"/>
                <w:bCs w:val="0"/>
                <w:sz w:val="24"/>
                <w:rtl/>
              </w:rPr>
              <w:t xml:space="preserve"> החוק העיקרי)</w:t>
            </w:r>
            <w:r w:rsidR="008E3ADB">
              <w:rPr>
                <w:rFonts w:ascii="David" w:hAnsi="David" w:hint="cs"/>
                <w:b w:val="0"/>
                <w:bCs w:val="0"/>
                <w:sz w:val="24"/>
                <w:rtl/>
              </w:rPr>
              <w:t>,</w:t>
            </w:r>
            <w:r w:rsidRPr="00DC0328">
              <w:rPr>
                <w:rFonts w:ascii="David" w:hAnsi="David"/>
                <w:b w:val="0"/>
                <w:bCs w:val="0"/>
                <w:sz w:val="24"/>
                <w:rtl/>
              </w:rPr>
              <w:t xml:space="preserve"> </w:t>
            </w:r>
            <w:r w:rsidR="001F22F5" w:rsidRPr="001F22F5">
              <w:rPr>
                <w:rFonts w:ascii="David" w:hAnsi="David" w:hint="cs"/>
                <w:b w:val="0"/>
                <w:bCs w:val="0"/>
                <w:sz w:val="24"/>
                <w:rtl/>
              </w:rPr>
              <w:t>בסעיף 96</w:t>
            </w:r>
            <w:r w:rsidR="00686262">
              <w:rPr>
                <w:rFonts w:ascii="David" w:hAnsi="David" w:hint="cs"/>
                <w:b w:val="0"/>
                <w:bCs w:val="0"/>
                <w:sz w:val="24"/>
                <w:rtl/>
              </w:rPr>
              <w:t xml:space="preserve">(א), </w:t>
            </w:r>
            <w:r w:rsidR="00572790">
              <w:rPr>
                <w:rFonts w:ascii="David" w:hAnsi="David" w:hint="cs"/>
                <w:b w:val="0"/>
                <w:bCs w:val="0"/>
                <w:sz w:val="24"/>
                <w:rtl/>
              </w:rPr>
              <w:t>בסופו</w:t>
            </w:r>
            <w:r w:rsidR="00686262">
              <w:rPr>
                <w:rFonts w:ascii="David" w:hAnsi="David" w:hint="cs"/>
                <w:b w:val="0"/>
                <w:bCs w:val="0"/>
                <w:sz w:val="24"/>
                <w:rtl/>
              </w:rPr>
              <w:t xml:space="preserve"> יבוא "לרבות</w:t>
            </w:r>
            <w:r w:rsidR="00572790">
              <w:rPr>
                <w:rFonts w:ascii="David" w:hAnsi="David" w:hint="cs"/>
                <w:b w:val="0"/>
                <w:bCs w:val="0"/>
                <w:sz w:val="24"/>
                <w:rtl/>
              </w:rPr>
              <w:t xml:space="preserve"> על ידי</w:t>
            </w:r>
            <w:r w:rsidR="009D4C59">
              <w:rPr>
                <w:rFonts w:ascii="David" w:hAnsi="David" w:hint="cs"/>
                <w:b w:val="0"/>
                <w:bCs w:val="0"/>
                <w:sz w:val="24"/>
                <w:rtl/>
              </w:rPr>
              <w:t xml:space="preserve"> ארגון מחבלים</w:t>
            </w:r>
            <w:r w:rsidR="00686262">
              <w:rPr>
                <w:rFonts w:ascii="David" w:hAnsi="David" w:hint="cs"/>
                <w:b w:val="0"/>
                <w:bCs w:val="0"/>
                <w:sz w:val="24"/>
                <w:rtl/>
              </w:rPr>
              <w:t>".</w:t>
            </w:r>
          </w:p>
        </w:tc>
      </w:tr>
      <w:tr w:rsidR="00686262" w14:paraId="71C6EB6A" w14:textId="77777777" w:rsidTr="00730B5C">
        <w:trPr>
          <w:cantSplit/>
          <w:trHeight w:val="60"/>
        </w:trPr>
        <w:tc>
          <w:tcPr>
            <w:tcW w:w="1871" w:type="dxa"/>
          </w:tcPr>
          <w:p w14:paraId="40C514B7" w14:textId="2FB06BCF" w:rsidR="00686262" w:rsidRPr="00DC0328" w:rsidDel="00DC0328" w:rsidRDefault="00686262" w:rsidP="00730B5C">
            <w:pPr>
              <w:pStyle w:val="TableSideHeading"/>
              <w:keepLines w:val="0"/>
              <w:rPr>
                <w:sz w:val="24"/>
                <w:szCs w:val="24"/>
                <w:rtl/>
              </w:rPr>
            </w:pPr>
            <w:r>
              <w:rPr>
                <w:rFonts w:hint="cs"/>
                <w:sz w:val="24"/>
                <w:szCs w:val="24"/>
                <w:rtl/>
              </w:rPr>
              <w:t>תיקון סעיף 99</w:t>
            </w:r>
          </w:p>
        </w:tc>
        <w:tc>
          <w:tcPr>
            <w:tcW w:w="624" w:type="dxa"/>
          </w:tcPr>
          <w:p w14:paraId="63B89110" w14:textId="1E24A9A9" w:rsidR="00686262" w:rsidRPr="00DC0328" w:rsidRDefault="00686262" w:rsidP="00730B5C">
            <w:pPr>
              <w:pStyle w:val="TableText"/>
              <w:keepLines w:val="0"/>
              <w:rPr>
                <w:sz w:val="24"/>
                <w:szCs w:val="24"/>
                <w:rtl/>
              </w:rPr>
            </w:pPr>
            <w:r>
              <w:rPr>
                <w:rFonts w:hint="cs"/>
                <w:sz w:val="24"/>
                <w:szCs w:val="24"/>
                <w:rtl/>
              </w:rPr>
              <w:t>2.</w:t>
            </w:r>
          </w:p>
        </w:tc>
        <w:tc>
          <w:tcPr>
            <w:tcW w:w="7146" w:type="dxa"/>
            <w:gridSpan w:val="4"/>
          </w:tcPr>
          <w:p w14:paraId="3AA1F1D2" w14:textId="24B26CC3" w:rsidR="00686262" w:rsidRDefault="00686262" w:rsidP="00227970">
            <w:pPr>
              <w:pStyle w:val="TableHead"/>
              <w:keepLines w:val="0"/>
              <w:jc w:val="both"/>
              <w:rPr>
                <w:rFonts w:ascii="David" w:hAnsi="David"/>
                <w:b w:val="0"/>
                <w:bCs w:val="0"/>
                <w:sz w:val="24"/>
                <w:rtl/>
              </w:rPr>
            </w:pPr>
            <w:r>
              <w:rPr>
                <w:rFonts w:ascii="David" w:hAnsi="David" w:hint="cs"/>
                <w:b w:val="0"/>
                <w:bCs w:val="0"/>
                <w:sz w:val="24"/>
                <w:rtl/>
              </w:rPr>
              <w:t>בסעיף 99</w:t>
            </w:r>
            <w:r w:rsidR="00227970">
              <w:rPr>
                <w:rFonts w:ascii="David" w:hAnsi="David" w:hint="cs"/>
                <w:b w:val="0"/>
                <w:bCs w:val="0"/>
                <w:sz w:val="24"/>
                <w:rtl/>
              </w:rPr>
              <w:t xml:space="preserve"> לחוק העיקרי </w:t>
            </w:r>
            <w:r w:rsidR="00227970">
              <w:rPr>
                <w:rFonts w:ascii="David" w:hAnsi="David" w:hint="eastAsia"/>
                <w:b w:val="0"/>
                <w:bCs w:val="0"/>
                <w:sz w:val="24"/>
                <w:rtl/>
              </w:rPr>
              <w:t>–</w:t>
            </w:r>
          </w:p>
        </w:tc>
      </w:tr>
      <w:tr w:rsidR="00227970" w14:paraId="261DFAAB" w14:textId="77777777" w:rsidTr="00730B5C">
        <w:trPr>
          <w:cantSplit/>
          <w:trHeight w:val="60"/>
        </w:trPr>
        <w:tc>
          <w:tcPr>
            <w:tcW w:w="1871" w:type="dxa"/>
          </w:tcPr>
          <w:p w14:paraId="7B9E81FD" w14:textId="77777777" w:rsidR="00227970" w:rsidRDefault="00227970" w:rsidP="00730B5C">
            <w:pPr>
              <w:pStyle w:val="TableSideHeading"/>
              <w:keepLines w:val="0"/>
              <w:rPr>
                <w:sz w:val="24"/>
                <w:szCs w:val="24"/>
                <w:rtl/>
              </w:rPr>
            </w:pPr>
          </w:p>
        </w:tc>
        <w:tc>
          <w:tcPr>
            <w:tcW w:w="624" w:type="dxa"/>
          </w:tcPr>
          <w:p w14:paraId="0AEDBF79" w14:textId="77777777" w:rsidR="00227970" w:rsidRDefault="00227970" w:rsidP="00730B5C">
            <w:pPr>
              <w:pStyle w:val="TableText"/>
              <w:keepLines w:val="0"/>
              <w:rPr>
                <w:sz w:val="24"/>
                <w:szCs w:val="24"/>
                <w:rtl/>
              </w:rPr>
            </w:pPr>
          </w:p>
        </w:tc>
        <w:tc>
          <w:tcPr>
            <w:tcW w:w="7146" w:type="dxa"/>
            <w:gridSpan w:val="4"/>
          </w:tcPr>
          <w:p w14:paraId="5DD74279" w14:textId="2B48F9A8" w:rsidR="00227970" w:rsidRDefault="00227970" w:rsidP="00227970">
            <w:pPr>
              <w:pStyle w:val="TableHead"/>
              <w:keepLines w:val="0"/>
              <w:jc w:val="both"/>
              <w:rPr>
                <w:rFonts w:ascii="David" w:hAnsi="David"/>
                <w:b w:val="0"/>
                <w:bCs w:val="0"/>
                <w:sz w:val="24"/>
                <w:rtl/>
              </w:rPr>
            </w:pPr>
            <w:r>
              <w:rPr>
                <w:rFonts w:ascii="David" w:hAnsi="David" w:hint="cs"/>
                <w:b w:val="0"/>
                <w:bCs w:val="0"/>
                <w:sz w:val="24"/>
                <w:rtl/>
              </w:rPr>
              <w:t>(1)</w:t>
            </w:r>
            <w:r>
              <w:rPr>
                <w:rFonts w:ascii="David" w:hAnsi="David"/>
                <w:b w:val="0"/>
                <w:bCs w:val="0"/>
                <w:sz w:val="24"/>
                <w:rtl/>
              </w:rPr>
              <w:tab/>
            </w:r>
            <w:r>
              <w:rPr>
                <w:rFonts w:ascii="David" w:hAnsi="David" w:hint="cs"/>
                <w:b w:val="0"/>
                <w:bCs w:val="0"/>
                <w:sz w:val="24"/>
                <w:rtl/>
              </w:rPr>
              <w:t>בסעיף קטן (א), אחרי "לסייע לכך," יבוא "</w:t>
            </w:r>
            <w:r w:rsidRPr="00686262">
              <w:rPr>
                <w:rFonts w:ascii="David" w:hAnsi="David" w:hint="cs"/>
                <w:b w:val="0"/>
                <w:bCs w:val="0"/>
                <w:sz w:val="24"/>
                <w:rtl/>
              </w:rPr>
              <w:t>לרבות על ידי גרימת מוות של אדם</w:t>
            </w:r>
            <w:r>
              <w:rPr>
                <w:rFonts w:ascii="David" w:hAnsi="David" w:hint="cs"/>
                <w:b w:val="0"/>
                <w:bCs w:val="0"/>
                <w:sz w:val="24"/>
                <w:rtl/>
              </w:rPr>
              <w:t>";</w:t>
            </w:r>
          </w:p>
        </w:tc>
      </w:tr>
      <w:tr w:rsidR="00227970" w14:paraId="3BED9DEA" w14:textId="77777777" w:rsidTr="00730B5C">
        <w:trPr>
          <w:cantSplit/>
          <w:trHeight w:val="60"/>
        </w:trPr>
        <w:tc>
          <w:tcPr>
            <w:tcW w:w="1871" w:type="dxa"/>
          </w:tcPr>
          <w:p w14:paraId="04436431" w14:textId="77777777" w:rsidR="00227970" w:rsidRDefault="00227970" w:rsidP="00730B5C">
            <w:pPr>
              <w:pStyle w:val="TableSideHeading"/>
              <w:keepLines w:val="0"/>
              <w:rPr>
                <w:sz w:val="24"/>
                <w:szCs w:val="24"/>
                <w:rtl/>
              </w:rPr>
            </w:pPr>
          </w:p>
        </w:tc>
        <w:tc>
          <w:tcPr>
            <w:tcW w:w="624" w:type="dxa"/>
          </w:tcPr>
          <w:p w14:paraId="286758E9" w14:textId="77777777" w:rsidR="00227970" w:rsidRDefault="00227970" w:rsidP="00730B5C">
            <w:pPr>
              <w:pStyle w:val="TableText"/>
              <w:keepLines w:val="0"/>
              <w:rPr>
                <w:sz w:val="24"/>
                <w:szCs w:val="24"/>
                <w:rtl/>
              </w:rPr>
            </w:pPr>
          </w:p>
        </w:tc>
        <w:tc>
          <w:tcPr>
            <w:tcW w:w="7146" w:type="dxa"/>
            <w:gridSpan w:val="4"/>
          </w:tcPr>
          <w:p w14:paraId="1FCAA376" w14:textId="7F50A528" w:rsidR="00227970" w:rsidRDefault="00227970" w:rsidP="00227970">
            <w:pPr>
              <w:pStyle w:val="TableHead"/>
              <w:keepLines w:val="0"/>
              <w:jc w:val="both"/>
              <w:rPr>
                <w:rFonts w:ascii="David" w:hAnsi="David"/>
                <w:b w:val="0"/>
                <w:bCs w:val="0"/>
                <w:sz w:val="24"/>
                <w:rtl/>
              </w:rPr>
            </w:pPr>
            <w:r>
              <w:rPr>
                <w:rFonts w:ascii="David" w:hAnsi="David" w:hint="cs"/>
                <w:b w:val="0"/>
                <w:bCs w:val="0"/>
                <w:sz w:val="24"/>
                <w:rtl/>
              </w:rPr>
              <w:t>(2)</w:t>
            </w:r>
            <w:r>
              <w:rPr>
                <w:rFonts w:ascii="David" w:hAnsi="David"/>
                <w:b w:val="0"/>
                <w:bCs w:val="0"/>
                <w:sz w:val="24"/>
                <w:rtl/>
              </w:rPr>
              <w:tab/>
            </w:r>
            <w:r>
              <w:rPr>
                <w:rFonts w:ascii="David" w:hAnsi="David" w:hint="cs"/>
                <w:b w:val="0"/>
                <w:bCs w:val="0"/>
                <w:sz w:val="24"/>
                <w:rtl/>
              </w:rPr>
              <w:t>אחרי סעיף קטן (ב) יבוא:</w:t>
            </w:r>
          </w:p>
        </w:tc>
      </w:tr>
      <w:tr w:rsidR="00227970" w14:paraId="24CDE6C7" w14:textId="77777777">
        <w:trPr>
          <w:cantSplit/>
          <w:trHeight w:val="60"/>
        </w:trPr>
        <w:tc>
          <w:tcPr>
            <w:tcW w:w="1871" w:type="dxa"/>
          </w:tcPr>
          <w:p w14:paraId="683FC8B2" w14:textId="77777777" w:rsidR="00227970" w:rsidRDefault="00227970">
            <w:pPr>
              <w:pStyle w:val="TableSideHeading"/>
            </w:pPr>
          </w:p>
        </w:tc>
        <w:tc>
          <w:tcPr>
            <w:tcW w:w="624" w:type="dxa"/>
          </w:tcPr>
          <w:p w14:paraId="72033E4F" w14:textId="77777777" w:rsidR="00227970" w:rsidRDefault="00227970">
            <w:pPr>
              <w:pStyle w:val="TableText"/>
            </w:pPr>
          </w:p>
        </w:tc>
        <w:tc>
          <w:tcPr>
            <w:tcW w:w="624" w:type="dxa"/>
          </w:tcPr>
          <w:p w14:paraId="017A6140" w14:textId="77777777" w:rsidR="00227970" w:rsidRDefault="00227970">
            <w:pPr>
              <w:pStyle w:val="TableText"/>
            </w:pPr>
          </w:p>
        </w:tc>
        <w:tc>
          <w:tcPr>
            <w:tcW w:w="6522" w:type="dxa"/>
            <w:gridSpan w:val="3"/>
          </w:tcPr>
          <w:p w14:paraId="4EF1942A" w14:textId="6815725D" w:rsidR="00227970" w:rsidRDefault="00227970">
            <w:pPr>
              <w:pStyle w:val="TableBlock"/>
            </w:pPr>
            <w:r>
              <w:rPr>
                <w:rFonts w:hint="cs"/>
                <w:rtl/>
              </w:rPr>
              <w:t>"(ג)</w:t>
            </w:r>
            <w:r>
              <w:rPr>
                <w:rtl/>
              </w:rPr>
              <w:tab/>
            </w:r>
            <w:r>
              <w:rPr>
                <w:rFonts w:hint="cs"/>
                <w:rtl/>
              </w:rPr>
              <w:t>לעניין סעיף זה, לא יחול הסייג בסעיף 96."</w:t>
            </w:r>
          </w:p>
        </w:tc>
      </w:tr>
      <w:tr w:rsidR="001F22F5" w14:paraId="55A8B71C" w14:textId="77777777" w:rsidTr="00287703">
        <w:trPr>
          <w:cantSplit/>
          <w:trHeight w:val="60"/>
        </w:trPr>
        <w:tc>
          <w:tcPr>
            <w:tcW w:w="1871" w:type="dxa"/>
          </w:tcPr>
          <w:p w14:paraId="56CDEA4A" w14:textId="74C8627C" w:rsidR="001F22F5" w:rsidRDefault="00AC2572">
            <w:pPr>
              <w:pStyle w:val="TableSideHeading"/>
            </w:pPr>
            <w:r>
              <w:rPr>
                <w:rFonts w:hint="cs"/>
                <w:rtl/>
              </w:rPr>
              <w:t>הוספת סעיף</w:t>
            </w:r>
            <w:r w:rsidR="001F22F5">
              <w:rPr>
                <w:rFonts w:hint="cs"/>
                <w:rtl/>
              </w:rPr>
              <w:t xml:space="preserve"> 99</w:t>
            </w:r>
            <w:r>
              <w:rPr>
                <w:rFonts w:hint="cs"/>
                <w:rtl/>
              </w:rPr>
              <w:t>א</w:t>
            </w:r>
          </w:p>
        </w:tc>
        <w:tc>
          <w:tcPr>
            <w:tcW w:w="624" w:type="dxa"/>
          </w:tcPr>
          <w:p w14:paraId="34A20887" w14:textId="733E9CED" w:rsidR="001F22F5" w:rsidRDefault="00572790">
            <w:pPr>
              <w:pStyle w:val="TableText"/>
            </w:pPr>
            <w:r>
              <w:rPr>
                <w:rFonts w:hint="cs"/>
                <w:rtl/>
              </w:rPr>
              <w:t>3.</w:t>
            </w:r>
          </w:p>
        </w:tc>
        <w:tc>
          <w:tcPr>
            <w:tcW w:w="7146" w:type="dxa"/>
            <w:gridSpan w:val="4"/>
          </w:tcPr>
          <w:p w14:paraId="5D31AC38" w14:textId="0DAE4303" w:rsidR="001F22F5" w:rsidRPr="001F22F5" w:rsidRDefault="00AC2572" w:rsidP="00AC2572">
            <w:pPr>
              <w:pStyle w:val="TableBlock"/>
              <w:rPr>
                <w:sz w:val="24"/>
                <w:szCs w:val="24"/>
                <w:rtl/>
              </w:rPr>
            </w:pPr>
            <w:r>
              <w:rPr>
                <w:rFonts w:ascii="David" w:hAnsi="David" w:hint="cs"/>
                <w:sz w:val="24"/>
                <w:rtl/>
              </w:rPr>
              <w:t xml:space="preserve">אחרי </w:t>
            </w:r>
            <w:r w:rsidR="001F22F5" w:rsidRPr="001F22F5">
              <w:rPr>
                <w:rFonts w:ascii="David" w:hAnsi="David" w:hint="cs"/>
                <w:sz w:val="24"/>
                <w:rtl/>
              </w:rPr>
              <w:t>סעיף 99</w:t>
            </w:r>
            <w:r w:rsidR="001F22F5">
              <w:rPr>
                <w:rFonts w:ascii="David" w:hAnsi="David" w:hint="cs"/>
                <w:sz w:val="24"/>
                <w:rtl/>
              </w:rPr>
              <w:t xml:space="preserve"> לחוק העיקרי</w:t>
            </w:r>
            <w:r w:rsidR="00393879">
              <w:rPr>
                <w:rFonts w:hint="cs"/>
                <w:sz w:val="24"/>
                <w:szCs w:val="24"/>
                <w:rtl/>
              </w:rPr>
              <w:t xml:space="preserve"> </w:t>
            </w:r>
            <w:r>
              <w:rPr>
                <w:rFonts w:ascii="David" w:hAnsi="David" w:hint="cs"/>
                <w:sz w:val="24"/>
                <w:rtl/>
              </w:rPr>
              <w:t>יבוא:</w:t>
            </w:r>
          </w:p>
        </w:tc>
      </w:tr>
      <w:tr w:rsidR="00AC2572" w14:paraId="1F10FE82" w14:textId="77777777">
        <w:trPr>
          <w:cantSplit/>
          <w:trHeight w:val="60"/>
        </w:trPr>
        <w:tc>
          <w:tcPr>
            <w:tcW w:w="1871" w:type="dxa"/>
          </w:tcPr>
          <w:p w14:paraId="0DA6A314" w14:textId="77777777" w:rsidR="00AC2572" w:rsidRDefault="00AC2572">
            <w:pPr>
              <w:pStyle w:val="TableSideHeading"/>
              <w:keepLines w:val="0"/>
            </w:pPr>
          </w:p>
        </w:tc>
        <w:tc>
          <w:tcPr>
            <w:tcW w:w="624" w:type="dxa"/>
          </w:tcPr>
          <w:p w14:paraId="4CCAEA7D" w14:textId="77777777" w:rsidR="00AC2572" w:rsidRDefault="00AC2572">
            <w:pPr>
              <w:pStyle w:val="TableText"/>
              <w:keepLines w:val="0"/>
            </w:pPr>
          </w:p>
        </w:tc>
        <w:tc>
          <w:tcPr>
            <w:tcW w:w="1872" w:type="dxa"/>
            <w:gridSpan w:val="2"/>
          </w:tcPr>
          <w:p w14:paraId="1F92AE68" w14:textId="63A0BEC0" w:rsidR="00AC2572" w:rsidRDefault="00AC2572">
            <w:pPr>
              <w:pStyle w:val="TableInnerSideHeading"/>
            </w:pPr>
            <w:r>
              <w:rPr>
                <w:rFonts w:hint="cs"/>
                <w:rtl/>
              </w:rPr>
              <w:t>"טבח במטרה לסייע ל</w:t>
            </w:r>
            <w:r w:rsidR="009F7F2F">
              <w:rPr>
                <w:rFonts w:hint="cs"/>
                <w:rtl/>
              </w:rPr>
              <w:t>אויב או ל</w:t>
            </w:r>
            <w:r>
              <w:rPr>
                <w:rFonts w:hint="cs"/>
                <w:rtl/>
              </w:rPr>
              <w:t>ארגון מחבלים</w:t>
            </w:r>
          </w:p>
        </w:tc>
        <w:tc>
          <w:tcPr>
            <w:tcW w:w="624" w:type="dxa"/>
          </w:tcPr>
          <w:p w14:paraId="59397BF5" w14:textId="59A4160F" w:rsidR="00AC2572" w:rsidRDefault="00AC2572">
            <w:pPr>
              <w:pStyle w:val="TableText"/>
            </w:pPr>
            <w:r>
              <w:rPr>
                <w:rFonts w:hint="cs"/>
                <w:rtl/>
              </w:rPr>
              <w:t>99א</w:t>
            </w:r>
            <w:r w:rsidR="0001357F">
              <w:rPr>
                <w:rFonts w:hint="cs"/>
                <w:rtl/>
              </w:rPr>
              <w:t>.</w:t>
            </w:r>
          </w:p>
        </w:tc>
        <w:tc>
          <w:tcPr>
            <w:tcW w:w="4650" w:type="dxa"/>
          </w:tcPr>
          <w:p w14:paraId="0D555E58" w14:textId="492EC583" w:rsidR="00AC2572" w:rsidRDefault="00AC2572" w:rsidP="00120D32">
            <w:pPr>
              <w:pStyle w:val="TableBlock"/>
            </w:pPr>
            <w:r>
              <w:rPr>
                <w:rFonts w:hint="cs"/>
                <w:rtl/>
              </w:rPr>
              <w:t>(</w:t>
            </w:r>
            <w:r w:rsidR="00572790">
              <w:rPr>
                <w:rFonts w:hint="cs"/>
                <w:rtl/>
              </w:rPr>
              <w:t>א</w:t>
            </w:r>
            <w:r>
              <w:rPr>
                <w:rFonts w:hint="cs"/>
                <w:rtl/>
              </w:rPr>
              <w:t>)</w:t>
            </w:r>
            <w:r>
              <w:rPr>
                <w:rtl/>
              </w:rPr>
              <w:tab/>
            </w:r>
            <w:r w:rsidR="0001357F">
              <w:rPr>
                <w:rFonts w:hint="cs"/>
                <w:rtl/>
              </w:rPr>
              <w:t xml:space="preserve">מי שביצע טבח במטרה לסייע לאויב או לארגון מחבלים במלחמתו נגד ישראל, דינו </w:t>
            </w:r>
            <w:r w:rsidR="0001357F">
              <w:rPr>
                <w:rtl/>
              </w:rPr>
              <w:t>–</w:t>
            </w:r>
            <w:r w:rsidR="0001357F">
              <w:rPr>
                <w:rFonts w:hint="cs"/>
                <w:rtl/>
              </w:rPr>
              <w:t xml:space="preserve"> מיתה או מאסר עולם חובה; בסעיף זה, </w:t>
            </w:r>
            <w:r w:rsidR="0001357F" w:rsidRPr="009F7F2F">
              <w:rPr>
                <w:rFonts w:hint="cs"/>
                <w:rtl/>
              </w:rPr>
              <w:t xml:space="preserve">"טבח" </w:t>
            </w:r>
            <w:r w:rsidR="0001357F" w:rsidRPr="009F7F2F">
              <w:rPr>
                <w:rtl/>
              </w:rPr>
              <w:t>–</w:t>
            </w:r>
            <w:r w:rsidR="0001357F" w:rsidRPr="009F7F2F">
              <w:rPr>
                <w:rFonts w:hint="cs"/>
                <w:rtl/>
              </w:rPr>
              <w:t xml:space="preserve"> גרימה למוות של יותר מאדם אחד כחלק ממעשה אחד.</w:t>
            </w:r>
          </w:p>
        </w:tc>
      </w:tr>
      <w:tr w:rsidR="001366D1" w14:paraId="774E6392" w14:textId="77777777">
        <w:trPr>
          <w:cantSplit/>
          <w:trHeight w:val="60"/>
        </w:trPr>
        <w:tc>
          <w:tcPr>
            <w:tcW w:w="1871" w:type="dxa"/>
          </w:tcPr>
          <w:p w14:paraId="62B692A7" w14:textId="42DAA730" w:rsidR="001366D1" w:rsidRDefault="001366D1" w:rsidP="00120D32">
            <w:pPr>
              <w:pStyle w:val="TableSideHeading"/>
              <w:keepLines w:val="0"/>
              <w:jc w:val="both"/>
              <w:rPr>
                <w:rtl/>
              </w:rPr>
            </w:pPr>
          </w:p>
        </w:tc>
        <w:tc>
          <w:tcPr>
            <w:tcW w:w="624" w:type="dxa"/>
          </w:tcPr>
          <w:p w14:paraId="112506AF" w14:textId="77777777" w:rsidR="001366D1" w:rsidRDefault="001366D1" w:rsidP="001366D1">
            <w:pPr>
              <w:pStyle w:val="TableText"/>
              <w:keepLines w:val="0"/>
            </w:pPr>
          </w:p>
        </w:tc>
        <w:tc>
          <w:tcPr>
            <w:tcW w:w="1872" w:type="dxa"/>
            <w:gridSpan w:val="2"/>
          </w:tcPr>
          <w:p w14:paraId="547E1E45" w14:textId="77777777" w:rsidR="001366D1" w:rsidRDefault="001366D1" w:rsidP="001366D1">
            <w:pPr>
              <w:pStyle w:val="TableInnerSideHeading"/>
              <w:rPr>
                <w:rtl/>
              </w:rPr>
            </w:pPr>
          </w:p>
        </w:tc>
        <w:tc>
          <w:tcPr>
            <w:tcW w:w="624" w:type="dxa"/>
          </w:tcPr>
          <w:p w14:paraId="055C2DD6" w14:textId="77777777" w:rsidR="001366D1" w:rsidRDefault="001366D1" w:rsidP="001366D1">
            <w:pPr>
              <w:pStyle w:val="TableText"/>
              <w:rPr>
                <w:rtl/>
              </w:rPr>
            </w:pPr>
          </w:p>
        </w:tc>
        <w:tc>
          <w:tcPr>
            <w:tcW w:w="4650" w:type="dxa"/>
          </w:tcPr>
          <w:p w14:paraId="3C572C61" w14:textId="52B6D9EB" w:rsidR="001366D1" w:rsidRDefault="001366D1" w:rsidP="00120D32">
            <w:pPr>
              <w:pStyle w:val="TableBlock"/>
              <w:rPr>
                <w:rtl/>
              </w:rPr>
            </w:pPr>
            <w:r>
              <w:rPr>
                <w:rFonts w:hint="cs"/>
                <w:rtl/>
              </w:rPr>
              <w:t>(</w:t>
            </w:r>
            <w:r w:rsidR="00572790">
              <w:rPr>
                <w:rFonts w:hint="cs"/>
                <w:rtl/>
              </w:rPr>
              <w:t>ב</w:t>
            </w:r>
            <w:r>
              <w:rPr>
                <w:rFonts w:hint="cs"/>
                <w:rtl/>
              </w:rPr>
              <w:t>)</w:t>
            </w:r>
            <w:r>
              <w:rPr>
                <w:rtl/>
              </w:rPr>
              <w:tab/>
            </w:r>
            <w:r w:rsidR="00291D03">
              <w:rPr>
                <w:rFonts w:hint="cs"/>
                <w:rtl/>
              </w:rPr>
              <w:t xml:space="preserve">בוצע </w:t>
            </w:r>
            <w:r w:rsidR="0001357F">
              <w:rPr>
                <w:rFonts w:hint="cs"/>
                <w:rtl/>
              </w:rPr>
              <w:t xml:space="preserve">טבח על ידי חבר בארגון מחבלים, חזקה כי התקיימה </w:t>
            </w:r>
            <w:r w:rsidR="00572790">
              <w:rPr>
                <w:rFonts w:hint="cs"/>
                <w:rtl/>
              </w:rPr>
              <w:t>המטרה כאמור בסעיף קטן (א)</w:t>
            </w:r>
            <w:r w:rsidR="00291D03">
              <w:rPr>
                <w:rFonts w:hint="cs"/>
                <w:rtl/>
              </w:rPr>
              <w:t>.</w:t>
            </w:r>
          </w:p>
        </w:tc>
      </w:tr>
      <w:tr w:rsidR="00BA0E17" w14:paraId="0F50DAA5" w14:textId="77777777">
        <w:trPr>
          <w:cantSplit/>
          <w:trHeight w:val="60"/>
        </w:trPr>
        <w:tc>
          <w:tcPr>
            <w:tcW w:w="1871" w:type="dxa"/>
          </w:tcPr>
          <w:p w14:paraId="7837C069" w14:textId="64C15C5B" w:rsidR="00BA0E17" w:rsidRDefault="00BA0E17" w:rsidP="001366D1">
            <w:pPr>
              <w:pStyle w:val="TableSideHeading"/>
              <w:keepLines w:val="0"/>
              <w:rPr>
                <w:rtl/>
              </w:rPr>
            </w:pPr>
          </w:p>
        </w:tc>
        <w:tc>
          <w:tcPr>
            <w:tcW w:w="624" w:type="dxa"/>
          </w:tcPr>
          <w:p w14:paraId="0DDD6665" w14:textId="77777777" w:rsidR="00BA0E17" w:rsidRDefault="00BA0E17" w:rsidP="001366D1">
            <w:pPr>
              <w:pStyle w:val="TableText"/>
              <w:keepLines w:val="0"/>
            </w:pPr>
          </w:p>
        </w:tc>
        <w:tc>
          <w:tcPr>
            <w:tcW w:w="1872" w:type="dxa"/>
            <w:gridSpan w:val="2"/>
          </w:tcPr>
          <w:p w14:paraId="01ADFA0D" w14:textId="77777777" w:rsidR="00BA0E17" w:rsidRDefault="00BA0E17" w:rsidP="001366D1">
            <w:pPr>
              <w:pStyle w:val="TableInnerSideHeading"/>
              <w:rPr>
                <w:rtl/>
              </w:rPr>
            </w:pPr>
          </w:p>
        </w:tc>
        <w:tc>
          <w:tcPr>
            <w:tcW w:w="624" w:type="dxa"/>
          </w:tcPr>
          <w:p w14:paraId="0A5E7189" w14:textId="77777777" w:rsidR="00BA0E17" w:rsidRDefault="00BA0E17" w:rsidP="001366D1">
            <w:pPr>
              <w:pStyle w:val="TableText"/>
              <w:rPr>
                <w:rtl/>
              </w:rPr>
            </w:pPr>
          </w:p>
        </w:tc>
        <w:tc>
          <w:tcPr>
            <w:tcW w:w="4650" w:type="dxa"/>
          </w:tcPr>
          <w:p w14:paraId="643639B6" w14:textId="6D895DB5" w:rsidR="00BA0E17" w:rsidRDefault="00BA0E17" w:rsidP="00120D32">
            <w:pPr>
              <w:pStyle w:val="TableBlock"/>
              <w:rPr>
                <w:rtl/>
              </w:rPr>
            </w:pPr>
            <w:r>
              <w:rPr>
                <w:rFonts w:ascii="David" w:hAnsi="David" w:hint="cs"/>
                <w:sz w:val="24"/>
                <w:rtl/>
              </w:rPr>
              <w:t>(</w:t>
            </w:r>
            <w:r w:rsidR="00572790">
              <w:rPr>
                <w:rFonts w:ascii="David" w:hAnsi="David" w:hint="cs"/>
                <w:sz w:val="24"/>
                <w:rtl/>
              </w:rPr>
              <w:t>ג</w:t>
            </w:r>
            <w:r>
              <w:rPr>
                <w:rFonts w:ascii="David" w:hAnsi="David" w:hint="cs"/>
                <w:sz w:val="24"/>
                <w:rtl/>
              </w:rPr>
              <w:t>)</w:t>
            </w:r>
            <w:r>
              <w:rPr>
                <w:rFonts w:ascii="David" w:hAnsi="David"/>
                <w:sz w:val="24"/>
                <w:rtl/>
              </w:rPr>
              <w:tab/>
            </w:r>
            <w:r>
              <w:rPr>
                <w:rFonts w:ascii="David" w:hAnsi="David" w:hint="cs"/>
                <w:sz w:val="24"/>
                <w:rtl/>
              </w:rPr>
              <w:t>החליט בית המשפט לא להטיל</w:t>
            </w:r>
            <w:r w:rsidR="009070DC">
              <w:rPr>
                <w:rFonts w:ascii="David" w:hAnsi="David" w:hint="cs"/>
                <w:sz w:val="24"/>
                <w:rtl/>
              </w:rPr>
              <w:t xml:space="preserve"> עונש</w:t>
            </w:r>
            <w:r>
              <w:rPr>
                <w:rFonts w:ascii="David" w:hAnsi="David" w:hint="cs"/>
                <w:sz w:val="24"/>
                <w:rtl/>
              </w:rPr>
              <w:t xml:space="preserve"> מיתה</w:t>
            </w:r>
            <w:r w:rsidR="0001357F">
              <w:rPr>
                <w:rFonts w:ascii="David" w:hAnsi="David" w:hint="cs"/>
                <w:sz w:val="24"/>
                <w:rtl/>
              </w:rPr>
              <w:t xml:space="preserve"> כאמור בסעיף קטן (</w:t>
            </w:r>
            <w:r w:rsidR="00291D03">
              <w:rPr>
                <w:rFonts w:ascii="David" w:hAnsi="David" w:hint="cs"/>
                <w:sz w:val="24"/>
                <w:rtl/>
              </w:rPr>
              <w:t>א</w:t>
            </w:r>
            <w:r w:rsidR="0001357F">
              <w:rPr>
                <w:rFonts w:ascii="David" w:hAnsi="David" w:hint="cs"/>
                <w:sz w:val="24"/>
                <w:rtl/>
              </w:rPr>
              <w:t>)</w:t>
            </w:r>
            <w:r>
              <w:rPr>
                <w:rFonts w:ascii="David" w:hAnsi="David" w:hint="cs"/>
                <w:sz w:val="24"/>
                <w:rtl/>
              </w:rPr>
              <w:t>,</w:t>
            </w:r>
            <w:r>
              <w:rPr>
                <w:rFonts w:hint="cs"/>
                <w:rtl/>
              </w:rPr>
              <w:t xml:space="preserve"> </w:t>
            </w:r>
            <w:r w:rsidR="0001357F">
              <w:rPr>
                <w:rFonts w:hint="cs"/>
                <w:rtl/>
              </w:rPr>
              <w:t xml:space="preserve">יטיל על </w:t>
            </w:r>
            <w:r w:rsidR="00291D03">
              <w:rPr>
                <w:rFonts w:hint="cs"/>
                <w:rtl/>
              </w:rPr>
              <w:t>ה</w:t>
            </w:r>
            <w:r w:rsidR="0001357F">
              <w:rPr>
                <w:rFonts w:hint="cs"/>
                <w:rtl/>
              </w:rPr>
              <w:t xml:space="preserve">נאשם </w:t>
            </w:r>
            <w:r w:rsidR="00F11472">
              <w:rPr>
                <w:rFonts w:hint="cs"/>
                <w:rtl/>
              </w:rPr>
              <w:t xml:space="preserve">עונשי מאסר עולם חובה מצטברים כנגד כל </w:t>
            </w:r>
            <w:r w:rsidR="009070DC">
              <w:rPr>
                <w:rFonts w:hint="cs"/>
                <w:rtl/>
              </w:rPr>
              <w:t>אדם שנגרם מותו</w:t>
            </w:r>
            <w:r w:rsidR="00F11472">
              <w:rPr>
                <w:rFonts w:hint="cs"/>
                <w:rtl/>
              </w:rPr>
              <w:t>.</w:t>
            </w:r>
          </w:p>
        </w:tc>
      </w:tr>
      <w:tr w:rsidR="001366D1" w14:paraId="24AB14AB" w14:textId="77777777">
        <w:trPr>
          <w:cantSplit/>
          <w:trHeight w:val="60"/>
        </w:trPr>
        <w:tc>
          <w:tcPr>
            <w:tcW w:w="1871" w:type="dxa"/>
          </w:tcPr>
          <w:p w14:paraId="14FDB1E4" w14:textId="2217EBD8" w:rsidR="001366D1" w:rsidRDefault="001366D1" w:rsidP="001366D1">
            <w:pPr>
              <w:pStyle w:val="TableSideHeading"/>
              <w:keepLines w:val="0"/>
              <w:rPr>
                <w:rtl/>
              </w:rPr>
            </w:pPr>
          </w:p>
        </w:tc>
        <w:tc>
          <w:tcPr>
            <w:tcW w:w="624" w:type="dxa"/>
          </w:tcPr>
          <w:p w14:paraId="639E400F" w14:textId="77777777" w:rsidR="001366D1" w:rsidRDefault="001366D1" w:rsidP="001366D1">
            <w:pPr>
              <w:pStyle w:val="TableText"/>
              <w:keepLines w:val="0"/>
            </w:pPr>
          </w:p>
        </w:tc>
        <w:tc>
          <w:tcPr>
            <w:tcW w:w="1872" w:type="dxa"/>
            <w:gridSpan w:val="2"/>
          </w:tcPr>
          <w:p w14:paraId="490C5D2F" w14:textId="77777777" w:rsidR="001366D1" w:rsidRDefault="001366D1" w:rsidP="001366D1">
            <w:pPr>
              <w:pStyle w:val="TableInnerSideHeading"/>
              <w:rPr>
                <w:rtl/>
              </w:rPr>
            </w:pPr>
          </w:p>
        </w:tc>
        <w:tc>
          <w:tcPr>
            <w:tcW w:w="624" w:type="dxa"/>
          </w:tcPr>
          <w:p w14:paraId="7A5FB6D4" w14:textId="77777777" w:rsidR="001366D1" w:rsidRDefault="001366D1" w:rsidP="001366D1">
            <w:pPr>
              <w:pStyle w:val="TableText"/>
              <w:rPr>
                <w:rtl/>
              </w:rPr>
            </w:pPr>
          </w:p>
        </w:tc>
        <w:tc>
          <w:tcPr>
            <w:tcW w:w="4650" w:type="dxa"/>
          </w:tcPr>
          <w:p w14:paraId="44F5CC4A" w14:textId="0044CE72" w:rsidR="001366D1" w:rsidRDefault="001366D1" w:rsidP="00120D32">
            <w:pPr>
              <w:pStyle w:val="TableBlock"/>
              <w:rPr>
                <w:rtl/>
              </w:rPr>
            </w:pPr>
            <w:r>
              <w:rPr>
                <w:rFonts w:hint="cs"/>
                <w:rtl/>
              </w:rPr>
              <w:t>(</w:t>
            </w:r>
            <w:r w:rsidR="00572790">
              <w:rPr>
                <w:rFonts w:hint="cs"/>
                <w:rtl/>
              </w:rPr>
              <w:t>ד)</w:t>
            </w:r>
            <w:r>
              <w:rPr>
                <w:rtl/>
              </w:rPr>
              <w:tab/>
            </w:r>
            <w:r>
              <w:rPr>
                <w:rFonts w:ascii="David" w:hAnsi="David" w:hint="cs"/>
                <w:sz w:val="24"/>
                <w:rtl/>
              </w:rPr>
              <w:t>עונש מיתה לפי סעיף זה לא יוטל אלא על מי שמלאו לו 18 שנים</w:t>
            </w:r>
            <w:r>
              <w:rPr>
                <w:rFonts w:hint="cs"/>
                <w:rtl/>
              </w:rPr>
              <w:t>.</w:t>
            </w:r>
          </w:p>
        </w:tc>
      </w:tr>
      <w:tr w:rsidR="001366D1" w14:paraId="7D4ED513" w14:textId="77777777">
        <w:trPr>
          <w:cantSplit/>
          <w:trHeight w:val="60"/>
        </w:trPr>
        <w:tc>
          <w:tcPr>
            <w:tcW w:w="1871" w:type="dxa"/>
          </w:tcPr>
          <w:p w14:paraId="54A0B241" w14:textId="0CDC3B8A" w:rsidR="001366D1" w:rsidRDefault="001366D1" w:rsidP="001366D1">
            <w:pPr>
              <w:pStyle w:val="TableSideHeading"/>
              <w:keepLines w:val="0"/>
              <w:rPr>
                <w:rtl/>
              </w:rPr>
            </w:pPr>
          </w:p>
        </w:tc>
        <w:tc>
          <w:tcPr>
            <w:tcW w:w="624" w:type="dxa"/>
          </w:tcPr>
          <w:p w14:paraId="33E35516" w14:textId="77777777" w:rsidR="001366D1" w:rsidRDefault="001366D1" w:rsidP="001366D1">
            <w:pPr>
              <w:pStyle w:val="TableText"/>
              <w:keepLines w:val="0"/>
            </w:pPr>
          </w:p>
        </w:tc>
        <w:tc>
          <w:tcPr>
            <w:tcW w:w="1872" w:type="dxa"/>
            <w:gridSpan w:val="2"/>
          </w:tcPr>
          <w:p w14:paraId="3343EEEE" w14:textId="77777777" w:rsidR="001366D1" w:rsidRDefault="001366D1" w:rsidP="001366D1">
            <w:pPr>
              <w:pStyle w:val="TableInnerSideHeading"/>
              <w:rPr>
                <w:rtl/>
              </w:rPr>
            </w:pPr>
          </w:p>
        </w:tc>
        <w:tc>
          <w:tcPr>
            <w:tcW w:w="624" w:type="dxa"/>
          </w:tcPr>
          <w:p w14:paraId="5031F44E" w14:textId="77777777" w:rsidR="001366D1" w:rsidRDefault="001366D1" w:rsidP="001366D1">
            <w:pPr>
              <w:pStyle w:val="TableText"/>
              <w:rPr>
                <w:rtl/>
              </w:rPr>
            </w:pPr>
          </w:p>
        </w:tc>
        <w:tc>
          <w:tcPr>
            <w:tcW w:w="4650" w:type="dxa"/>
          </w:tcPr>
          <w:p w14:paraId="277637FE" w14:textId="64D8490C" w:rsidR="001366D1" w:rsidRDefault="001366D1" w:rsidP="00120D32">
            <w:pPr>
              <w:pStyle w:val="TableBlock"/>
              <w:rPr>
                <w:rtl/>
              </w:rPr>
            </w:pPr>
            <w:r>
              <w:rPr>
                <w:rFonts w:ascii="David" w:hAnsi="David" w:hint="cs"/>
                <w:sz w:val="24"/>
                <w:rtl/>
              </w:rPr>
              <w:t>(</w:t>
            </w:r>
            <w:r w:rsidR="00572790">
              <w:rPr>
                <w:rFonts w:ascii="David" w:hAnsi="David" w:hint="cs"/>
                <w:sz w:val="24"/>
                <w:rtl/>
              </w:rPr>
              <w:t>ה</w:t>
            </w:r>
            <w:r>
              <w:rPr>
                <w:rFonts w:ascii="David" w:hAnsi="David" w:hint="cs"/>
                <w:sz w:val="24"/>
                <w:rtl/>
              </w:rPr>
              <w:t>)</w:t>
            </w:r>
            <w:r>
              <w:rPr>
                <w:rtl/>
              </w:rPr>
              <w:tab/>
            </w:r>
            <w:r>
              <w:rPr>
                <w:rFonts w:hint="cs"/>
                <w:rtl/>
              </w:rPr>
              <w:t>תקופת ההתיישנות לעניין סעיף זה תהיה כאמור בסעיף 44 לחוק המאבק בטרור, התשע"ו</w:t>
            </w:r>
            <w:r>
              <w:rPr>
                <w:rFonts w:hint="eastAsia"/>
                <w:rtl/>
              </w:rPr>
              <w:t>–</w:t>
            </w:r>
            <w:r>
              <w:rPr>
                <w:rFonts w:hint="cs"/>
                <w:rtl/>
              </w:rPr>
              <w:t>2016.</w:t>
            </w:r>
          </w:p>
        </w:tc>
      </w:tr>
      <w:tr w:rsidR="00227970" w14:paraId="35BD5174" w14:textId="77777777">
        <w:trPr>
          <w:cantSplit/>
          <w:trHeight w:val="60"/>
        </w:trPr>
        <w:tc>
          <w:tcPr>
            <w:tcW w:w="1871" w:type="dxa"/>
          </w:tcPr>
          <w:p w14:paraId="25025412" w14:textId="77777777" w:rsidR="00227970" w:rsidRDefault="00227970" w:rsidP="001366D1">
            <w:pPr>
              <w:pStyle w:val="TableSideHeading"/>
              <w:keepLines w:val="0"/>
              <w:rPr>
                <w:rtl/>
              </w:rPr>
            </w:pPr>
          </w:p>
        </w:tc>
        <w:tc>
          <w:tcPr>
            <w:tcW w:w="624" w:type="dxa"/>
          </w:tcPr>
          <w:p w14:paraId="655FEBBC" w14:textId="77777777" w:rsidR="00227970" w:rsidRDefault="00227970" w:rsidP="001366D1">
            <w:pPr>
              <w:pStyle w:val="TableText"/>
              <w:keepLines w:val="0"/>
            </w:pPr>
          </w:p>
        </w:tc>
        <w:tc>
          <w:tcPr>
            <w:tcW w:w="1872" w:type="dxa"/>
            <w:gridSpan w:val="2"/>
          </w:tcPr>
          <w:p w14:paraId="2BE38A27" w14:textId="77777777" w:rsidR="00227970" w:rsidRDefault="00227970" w:rsidP="001366D1">
            <w:pPr>
              <w:pStyle w:val="TableInnerSideHeading"/>
              <w:rPr>
                <w:rtl/>
              </w:rPr>
            </w:pPr>
          </w:p>
        </w:tc>
        <w:tc>
          <w:tcPr>
            <w:tcW w:w="624" w:type="dxa"/>
          </w:tcPr>
          <w:p w14:paraId="5337C180" w14:textId="77777777" w:rsidR="00227970" w:rsidRDefault="00227970" w:rsidP="001366D1">
            <w:pPr>
              <w:pStyle w:val="TableText"/>
              <w:rPr>
                <w:rtl/>
              </w:rPr>
            </w:pPr>
          </w:p>
        </w:tc>
        <w:tc>
          <w:tcPr>
            <w:tcW w:w="4650" w:type="dxa"/>
          </w:tcPr>
          <w:p w14:paraId="1D072258" w14:textId="49A5486D" w:rsidR="00227970" w:rsidRDefault="00227970" w:rsidP="00120D32">
            <w:pPr>
              <w:pStyle w:val="TableBlock"/>
              <w:rPr>
                <w:rFonts w:ascii="David" w:hAnsi="David"/>
                <w:sz w:val="24"/>
                <w:rtl/>
              </w:rPr>
            </w:pPr>
            <w:r>
              <w:rPr>
                <w:rFonts w:ascii="David" w:hAnsi="David" w:hint="cs"/>
                <w:sz w:val="24"/>
                <w:rtl/>
              </w:rPr>
              <w:t>(ו)</w:t>
            </w:r>
            <w:r>
              <w:rPr>
                <w:rFonts w:ascii="David" w:hAnsi="David"/>
                <w:sz w:val="24"/>
                <w:rtl/>
              </w:rPr>
              <w:tab/>
            </w:r>
            <w:r>
              <w:rPr>
                <w:rFonts w:hint="cs"/>
                <w:rtl/>
              </w:rPr>
              <w:t>לעניין סעיף זה, לא יחול הסייג בסעיף 96."</w:t>
            </w:r>
          </w:p>
        </w:tc>
      </w:tr>
      <w:tr w:rsidR="001366D1" w14:paraId="4170500F" w14:textId="77777777" w:rsidTr="00483674">
        <w:trPr>
          <w:cantSplit/>
          <w:trHeight w:val="60"/>
        </w:trPr>
        <w:tc>
          <w:tcPr>
            <w:tcW w:w="1871" w:type="dxa"/>
          </w:tcPr>
          <w:p w14:paraId="0F7907D0" w14:textId="4949E44A" w:rsidR="001366D1" w:rsidRDefault="001366D1" w:rsidP="001366D1">
            <w:pPr>
              <w:pStyle w:val="TableSideHeading"/>
            </w:pPr>
            <w:r>
              <w:rPr>
                <w:rFonts w:hint="cs"/>
                <w:rtl/>
              </w:rPr>
              <w:t>תיקון חוק המאבק בטרור</w:t>
            </w:r>
          </w:p>
        </w:tc>
        <w:tc>
          <w:tcPr>
            <w:tcW w:w="624" w:type="dxa"/>
          </w:tcPr>
          <w:p w14:paraId="312D6159" w14:textId="2F31CE96" w:rsidR="001366D1" w:rsidRDefault="008E3ADB" w:rsidP="001366D1">
            <w:pPr>
              <w:pStyle w:val="TableText"/>
            </w:pPr>
            <w:r>
              <w:rPr>
                <w:rFonts w:hint="cs"/>
                <w:rtl/>
              </w:rPr>
              <w:t>4</w:t>
            </w:r>
            <w:r w:rsidR="001366D1">
              <w:rPr>
                <w:rFonts w:hint="cs"/>
                <w:rtl/>
              </w:rPr>
              <w:t>.</w:t>
            </w:r>
          </w:p>
        </w:tc>
        <w:tc>
          <w:tcPr>
            <w:tcW w:w="7146" w:type="dxa"/>
            <w:gridSpan w:val="4"/>
          </w:tcPr>
          <w:p w14:paraId="2691C647" w14:textId="10B2F4A3" w:rsidR="001366D1" w:rsidRDefault="001366D1" w:rsidP="001366D1">
            <w:pPr>
              <w:pStyle w:val="TableBlock"/>
              <w:rPr>
                <w:rFonts w:ascii="David" w:hAnsi="David"/>
                <w:sz w:val="24"/>
                <w:rtl/>
              </w:rPr>
            </w:pPr>
            <w:r w:rsidRPr="002C7768">
              <w:rPr>
                <w:rFonts w:ascii="David" w:hAnsi="David"/>
                <w:sz w:val="24"/>
                <w:rtl/>
              </w:rPr>
              <w:t>בסעיף 39 לחוק המאבק בטרור, התשע"ו</w:t>
            </w:r>
            <w:r>
              <w:rPr>
                <w:rFonts w:ascii="David" w:hAnsi="David" w:hint="cs"/>
                <w:sz w:val="24"/>
                <w:rtl/>
              </w:rPr>
              <w:t>–</w:t>
            </w:r>
            <w:r w:rsidRPr="002C7768">
              <w:rPr>
                <w:rFonts w:ascii="David" w:hAnsi="David"/>
                <w:sz w:val="24"/>
                <w:rtl/>
              </w:rPr>
              <w:t>2016</w:t>
            </w:r>
            <w:r>
              <w:rPr>
                <w:rStyle w:val="a5"/>
                <w:rFonts w:ascii="David" w:hAnsi="David"/>
                <w:sz w:val="24"/>
                <w:rtl/>
              </w:rPr>
              <w:footnoteReference w:id="3"/>
            </w:r>
            <w:r>
              <w:rPr>
                <w:rFonts w:ascii="David" w:hAnsi="David"/>
                <w:sz w:val="24"/>
                <w:rtl/>
              </w:rPr>
              <w:softHyphen/>
            </w:r>
            <w:r>
              <w:rPr>
                <w:rFonts w:ascii="David" w:hAnsi="David" w:hint="cs"/>
                <w:sz w:val="24"/>
                <w:rtl/>
              </w:rPr>
              <w:t xml:space="preserve"> </w:t>
            </w:r>
            <w:r>
              <w:rPr>
                <w:rFonts w:ascii="David" w:hAnsi="David" w:hint="eastAsia"/>
                <w:sz w:val="24"/>
                <w:rtl/>
              </w:rPr>
              <w:t>–</w:t>
            </w:r>
          </w:p>
        </w:tc>
      </w:tr>
      <w:tr w:rsidR="001366D1" w14:paraId="1AAB9AC4" w14:textId="77777777" w:rsidTr="00483674">
        <w:trPr>
          <w:cantSplit/>
          <w:trHeight w:val="60"/>
        </w:trPr>
        <w:tc>
          <w:tcPr>
            <w:tcW w:w="1871" w:type="dxa"/>
          </w:tcPr>
          <w:p w14:paraId="4DE35529" w14:textId="77777777" w:rsidR="001366D1" w:rsidRDefault="001366D1" w:rsidP="001366D1">
            <w:pPr>
              <w:pStyle w:val="TableSideHeading"/>
              <w:rPr>
                <w:rtl/>
              </w:rPr>
            </w:pPr>
          </w:p>
        </w:tc>
        <w:tc>
          <w:tcPr>
            <w:tcW w:w="624" w:type="dxa"/>
          </w:tcPr>
          <w:p w14:paraId="2546DD7D" w14:textId="77777777" w:rsidR="001366D1" w:rsidRDefault="001366D1" w:rsidP="001366D1">
            <w:pPr>
              <w:pStyle w:val="TableText"/>
              <w:rPr>
                <w:rtl/>
              </w:rPr>
            </w:pPr>
          </w:p>
        </w:tc>
        <w:tc>
          <w:tcPr>
            <w:tcW w:w="7146" w:type="dxa"/>
            <w:gridSpan w:val="4"/>
          </w:tcPr>
          <w:p w14:paraId="2AABC4DA" w14:textId="7690851A" w:rsidR="001366D1" w:rsidRPr="002C7768" w:rsidRDefault="001366D1" w:rsidP="001366D1">
            <w:pPr>
              <w:pStyle w:val="TableBlock"/>
              <w:rPr>
                <w:rFonts w:ascii="David" w:hAnsi="David"/>
                <w:sz w:val="24"/>
                <w:rtl/>
              </w:rPr>
            </w:pPr>
            <w:r>
              <w:rPr>
                <w:rFonts w:ascii="David" w:hAnsi="David" w:hint="cs"/>
                <w:sz w:val="24"/>
                <w:rtl/>
              </w:rPr>
              <w:t>(1)</w:t>
            </w:r>
            <w:r>
              <w:rPr>
                <w:rFonts w:ascii="David" w:hAnsi="David"/>
                <w:sz w:val="24"/>
                <w:rtl/>
              </w:rPr>
              <w:tab/>
            </w:r>
            <w:r w:rsidRPr="002C7768">
              <w:rPr>
                <w:rFonts w:ascii="David" w:hAnsi="David"/>
                <w:sz w:val="24"/>
                <w:rtl/>
              </w:rPr>
              <w:t>בסעיף</w:t>
            </w:r>
            <w:r w:rsidR="008E3ADB">
              <w:rPr>
                <w:rFonts w:ascii="David" w:hAnsi="David" w:hint="cs"/>
                <w:sz w:val="24"/>
                <w:rtl/>
              </w:rPr>
              <w:t xml:space="preserve"> קטן</w:t>
            </w:r>
            <w:r w:rsidRPr="002C7768">
              <w:rPr>
                <w:rFonts w:ascii="David" w:hAnsi="David"/>
                <w:sz w:val="24"/>
                <w:rtl/>
              </w:rPr>
              <w:t xml:space="preserve"> (א)</w:t>
            </w:r>
            <w:r w:rsidR="008E3ADB">
              <w:rPr>
                <w:rFonts w:ascii="David" w:hAnsi="David" w:hint="cs"/>
                <w:sz w:val="24"/>
                <w:rtl/>
              </w:rPr>
              <w:t>,</w:t>
            </w:r>
            <w:r w:rsidRPr="002C7768">
              <w:rPr>
                <w:rFonts w:ascii="David" w:hAnsi="David"/>
                <w:sz w:val="24"/>
                <w:rtl/>
              </w:rPr>
              <w:t xml:space="preserve"> במקום </w:t>
            </w:r>
            <w:r>
              <w:rPr>
                <w:rFonts w:ascii="David" w:hAnsi="David"/>
                <w:sz w:val="24"/>
                <w:rtl/>
              </w:rPr>
              <w:t>"מאסר עולם" יבוא</w:t>
            </w:r>
            <w:r w:rsidRPr="002C7768">
              <w:rPr>
                <w:rFonts w:ascii="David" w:hAnsi="David"/>
                <w:sz w:val="24"/>
                <w:rtl/>
              </w:rPr>
              <w:t xml:space="preserve"> "</w:t>
            </w:r>
            <w:r>
              <w:rPr>
                <w:rFonts w:ascii="David" w:hAnsi="David" w:hint="cs"/>
                <w:sz w:val="24"/>
                <w:rtl/>
              </w:rPr>
              <w:t>עונש מוות</w:t>
            </w:r>
            <w:r w:rsidRPr="002C7768">
              <w:rPr>
                <w:rFonts w:ascii="David" w:hAnsi="David"/>
                <w:sz w:val="24"/>
                <w:rtl/>
              </w:rPr>
              <w:t xml:space="preserve"> או מאסר עולם חובה"</w:t>
            </w:r>
            <w:r w:rsidR="00F11472">
              <w:rPr>
                <w:rFonts w:ascii="David" w:hAnsi="David" w:hint="cs"/>
                <w:sz w:val="24"/>
                <w:rtl/>
              </w:rPr>
              <w:t>;</w:t>
            </w:r>
          </w:p>
        </w:tc>
      </w:tr>
      <w:tr w:rsidR="001366D1" w14:paraId="672A9054" w14:textId="77777777" w:rsidTr="00483674">
        <w:trPr>
          <w:cantSplit/>
          <w:trHeight w:val="60"/>
        </w:trPr>
        <w:tc>
          <w:tcPr>
            <w:tcW w:w="1871" w:type="dxa"/>
          </w:tcPr>
          <w:p w14:paraId="7E57D36C" w14:textId="77777777" w:rsidR="001366D1" w:rsidRDefault="001366D1" w:rsidP="001366D1">
            <w:pPr>
              <w:pStyle w:val="TableSideHeading"/>
              <w:rPr>
                <w:rtl/>
              </w:rPr>
            </w:pPr>
          </w:p>
        </w:tc>
        <w:tc>
          <w:tcPr>
            <w:tcW w:w="624" w:type="dxa"/>
          </w:tcPr>
          <w:p w14:paraId="0A56D983" w14:textId="77777777" w:rsidR="001366D1" w:rsidRDefault="001366D1" w:rsidP="001366D1">
            <w:pPr>
              <w:pStyle w:val="TableText"/>
              <w:rPr>
                <w:rtl/>
              </w:rPr>
            </w:pPr>
          </w:p>
        </w:tc>
        <w:tc>
          <w:tcPr>
            <w:tcW w:w="7146" w:type="dxa"/>
            <w:gridSpan w:val="4"/>
          </w:tcPr>
          <w:p w14:paraId="40E3330F" w14:textId="0F2CE903" w:rsidR="001366D1" w:rsidRDefault="001366D1" w:rsidP="00F11472">
            <w:pPr>
              <w:pStyle w:val="TableBlock"/>
              <w:rPr>
                <w:rFonts w:ascii="David" w:hAnsi="David"/>
                <w:sz w:val="24"/>
                <w:rtl/>
              </w:rPr>
            </w:pPr>
            <w:r>
              <w:rPr>
                <w:rFonts w:ascii="David" w:hAnsi="David" w:hint="cs"/>
                <w:sz w:val="24"/>
                <w:rtl/>
              </w:rPr>
              <w:t>(2)</w:t>
            </w:r>
            <w:r>
              <w:rPr>
                <w:rFonts w:ascii="David" w:hAnsi="David"/>
                <w:sz w:val="24"/>
                <w:rtl/>
              </w:rPr>
              <w:tab/>
            </w:r>
            <w:r w:rsidRPr="00305567">
              <w:rPr>
                <w:rFonts w:ascii="David" w:hAnsi="David"/>
                <w:sz w:val="24"/>
                <w:rtl/>
              </w:rPr>
              <w:t>בסעיף</w:t>
            </w:r>
            <w:r w:rsidR="008E3ADB">
              <w:rPr>
                <w:rFonts w:ascii="David" w:hAnsi="David" w:hint="cs"/>
                <w:sz w:val="24"/>
                <w:rtl/>
              </w:rPr>
              <w:t xml:space="preserve"> קטן</w:t>
            </w:r>
            <w:r w:rsidRPr="00305567">
              <w:rPr>
                <w:rFonts w:ascii="David" w:hAnsi="David"/>
                <w:sz w:val="24"/>
                <w:rtl/>
              </w:rPr>
              <w:t xml:space="preserve"> (ב)</w:t>
            </w:r>
            <w:r w:rsidR="008E3ADB">
              <w:rPr>
                <w:rFonts w:ascii="David" w:hAnsi="David" w:hint="cs"/>
                <w:sz w:val="24"/>
                <w:rtl/>
              </w:rPr>
              <w:t>,</w:t>
            </w:r>
            <w:r w:rsidRPr="00305567">
              <w:rPr>
                <w:rFonts w:ascii="David" w:hAnsi="David"/>
                <w:sz w:val="24"/>
                <w:rtl/>
              </w:rPr>
              <w:t xml:space="preserve"> במקום "מאסר עולם" יבוא "</w:t>
            </w:r>
            <w:r w:rsidR="00F11472">
              <w:rPr>
                <w:rFonts w:ascii="David" w:hAnsi="David" w:hint="cs"/>
                <w:sz w:val="24"/>
                <w:rtl/>
              </w:rPr>
              <w:t>עונש מוות</w:t>
            </w:r>
            <w:r w:rsidR="00F11472" w:rsidRPr="00305567">
              <w:rPr>
                <w:rFonts w:ascii="David" w:hAnsi="David"/>
                <w:sz w:val="24"/>
                <w:rtl/>
              </w:rPr>
              <w:t xml:space="preserve"> </w:t>
            </w:r>
            <w:r w:rsidRPr="00305567">
              <w:rPr>
                <w:rFonts w:ascii="David" w:hAnsi="David"/>
                <w:sz w:val="24"/>
                <w:rtl/>
              </w:rPr>
              <w:t>או מאסר עולם חובה".</w:t>
            </w:r>
          </w:p>
        </w:tc>
      </w:tr>
    </w:tbl>
    <w:p w14:paraId="7F6961CB" w14:textId="150EFCEE" w:rsidR="00E13C27" w:rsidRDefault="002D1EE3" w:rsidP="008F6309">
      <w:pPr>
        <w:pStyle w:val="HeadDivreiHesber"/>
        <w:rPr>
          <w:rtl/>
        </w:rPr>
      </w:pPr>
      <w:r w:rsidRPr="0027450A">
        <w:rPr>
          <w:rFonts w:hint="cs"/>
          <w:rtl/>
        </w:rPr>
        <w:t>דברי הסבר</w:t>
      </w:r>
    </w:p>
    <w:p w14:paraId="62AEA038" w14:textId="072C424A" w:rsidR="00F02CDB" w:rsidRPr="00120D32" w:rsidRDefault="007C52A8" w:rsidP="00120D32">
      <w:pPr>
        <w:pStyle w:val="Hesber"/>
        <w:rPr>
          <w:rtl/>
        </w:rPr>
      </w:pPr>
      <w:r w:rsidRPr="00120D32">
        <w:rPr>
          <w:rFonts w:hint="cs"/>
          <w:rtl/>
        </w:rPr>
        <w:t>מוצע</w:t>
      </w:r>
      <w:r w:rsidR="00F11472" w:rsidRPr="00120D32">
        <w:rPr>
          <w:rFonts w:hint="cs"/>
          <w:rtl/>
        </w:rPr>
        <w:t>ים</w:t>
      </w:r>
      <w:r w:rsidR="00F02CDB" w:rsidRPr="00120D32">
        <w:rPr>
          <w:rFonts w:hint="cs"/>
          <w:rtl/>
        </w:rPr>
        <w:t xml:space="preserve"> </w:t>
      </w:r>
      <w:r w:rsidR="00F11472" w:rsidRPr="00120D32">
        <w:rPr>
          <w:rFonts w:hint="cs"/>
          <w:rtl/>
        </w:rPr>
        <w:t>תיקונים</w:t>
      </w:r>
      <w:r w:rsidR="00F02CDB" w:rsidRPr="00120D32">
        <w:rPr>
          <w:rFonts w:hint="cs"/>
          <w:rtl/>
        </w:rPr>
        <w:t xml:space="preserve"> </w:t>
      </w:r>
      <w:r w:rsidR="00F11472" w:rsidRPr="00120D32">
        <w:rPr>
          <w:rFonts w:hint="cs"/>
          <w:rtl/>
        </w:rPr>
        <w:t>ב</w:t>
      </w:r>
      <w:r w:rsidR="00F02CDB" w:rsidRPr="00120D32">
        <w:rPr>
          <w:rFonts w:hint="cs"/>
          <w:rtl/>
        </w:rPr>
        <w:t>חוק העונשין</w:t>
      </w:r>
      <w:r w:rsidRPr="00120D32">
        <w:rPr>
          <w:rFonts w:hint="cs"/>
          <w:rtl/>
        </w:rPr>
        <w:t>, התשל"ז</w:t>
      </w:r>
      <w:r w:rsidR="00F11472" w:rsidRPr="00120D32">
        <w:rPr>
          <w:rFonts w:hint="eastAsia"/>
          <w:rtl/>
        </w:rPr>
        <w:t>–</w:t>
      </w:r>
      <w:r w:rsidRPr="00120D32">
        <w:rPr>
          <w:rFonts w:hint="cs"/>
          <w:rtl/>
        </w:rPr>
        <w:t>1977</w:t>
      </w:r>
      <w:r w:rsidR="009E7E33" w:rsidRPr="00120D32">
        <w:rPr>
          <w:rFonts w:hint="cs"/>
          <w:rtl/>
        </w:rPr>
        <w:t xml:space="preserve"> (להלן </w:t>
      </w:r>
      <w:r w:rsidR="009E7E33" w:rsidRPr="00120D32">
        <w:rPr>
          <w:rtl/>
        </w:rPr>
        <w:t>–</w:t>
      </w:r>
      <w:r w:rsidR="009E7E33" w:rsidRPr="00120D32">
        <w:rPr>
          <w:rFonts w:hint="cs"/>
          <w:rtl/>
        </w:rPr>
        <w:t xml:space="preserve"> החוק)</w:t>
      </w:r>
      <w:r w:rsidRPr="00120D32">
        <w:rPr>
          <w:rFonts w:hint="cs"/>
          <w:rtl/>
        </w:rPr>
        <w:t>,</w:t>
      </w:r>
      <w:r w:rsidR="00F02CDB" w:rsidRPr="00120D32">
        <w:rPr>
          <w:rFonts w:hint="cs"/>
          <w:rtl/>
        </w:rPr>
        <w:t xml:space="preserve"> </w:t>
      </w:r>
      <w:r w:rsidR="00F11472" w:rsidRPr="00120D32">
        <w:rPr>
          <w:rFonts w:hint="cs"/>
          <w:rtl/>
        </w:rPr>
        <w:t>וב</w:t>
      </w:r>
      <w:r w:rsidR="00F02CDB" w:rsidRPr="00120D32">
        <w:rPr>
          <w:rFonts w:hint="cs"/>
          <w:rtl/>
        </w:rPr>
        <w:t xml:space="preserve">חוק </w:t>
      </w:r>
      <w:r w:rsidRPr="00120D32">
        <w:rPr>
          <w:rFonts w:hint="cs"/>
          <w:rtl/>
        </w:rPr>
        <w:t xml:space="preserve">המאבק </w:t>
      </w:r>
      <w:r w:rsidR="00F02CDB" w:rsidRPr="00120D32">
        <w:rPr>
          <w:rFonts w:hint="cs"/>
          <w:rtl/>
        </w:rPr>
        <w:t>בטרור</w:t>
      </w:r>
      <w:r w:rsidR="00C72873" w:rsidRPr="00120D32">
        <w:rPr>
          <w:rFonts w:hint="cs"/>
          <w:rtl/>
        </w:rPr>
        <w:t xml:space="preserve">, </w:t>
      </w:r>
      <w:r w:rsidR="00C72873" w:rsidRPr="00120D32">
        <w:rPr>
          <w:rtl/>
        </w:rPr>
        <w:t>התשע"ו</w:t>
      </w:r>
      <w:r w:rsidR="00C72873" w:rsidRPr="00120D32">
        <w:rPr>
          <w:rFonts w:hint="cs"/>
          <w:rtl/>
        </w:rPr>
        <w:t>–</w:t>
      </w:r>
      <w:r w:rsidR="00C72873" w:rsidRPr="00120D32">
        <w:rPr>
          <w:rtl/>
        </w:rPr>
        <w:t>2016</w:t>
      </w:r>
      <w:r w:rsidR="009D4C59">
        <w:rPr>
          <w:rFonts w:hint="cs"/>
          <w:rtl/>
        </w:rPr>
        <w:t xml:space="preserve"> (להלן </w:t>
      </w:r>
      <w:r w:rsidR="009D4C59">
        <w:rPr>
          <w:rtl/>
        </w:rPr>
        <w:t>–</w:t>
      </w:r>
      <w:r w:rsidR="009D4C59">
        <w:rPr>
          <w:rFonts w:hint="cs"/>
          <w:rtl/>
        </w:rPr>
        <w:t xml:space="preserve"> חוק המאבק בטרור)</w:t>
      </w:r>
      <w:r w:rsidR="00C72873" w:rsidRPr="00120D32">
        <w:rPr>
          <w:rFonts w:hint="cs"/>
          <w:rtl/>
        </w:rPr>
        <w:t>,</w:t>
      </w:r>
      <w:r w:rsidR="00F02CDB" w:rsidRPr="00120D32">
        <w:rPr>
          <w:rFonts w:hint="cs"/>
          <w:rtl/>
        </w:rPr>
        <w:t xml:space="preserve"> </w:t>
      </w:r>
      <w:r w:rsidR="00670EBA" w:rsidRPr="00120D32">
        <w:rPr>
          <w:rFonts w:hint="cs"/>
          <w:rtl/>
        </w:rPr>
        <w:t>שמטרתם</w:t>
      </w:r>
      <w:r w:rsidR="00F11472" w:rsidRPr="00120D32">
        <w:rPr>
          <w:rFonts w:hint="cs"/>
          <w:rtl/>
        </w:rPr>
        <w:t xml:space="preserve"> לקבוע </w:t>
      </w:r>
      <w:r w:rsidR="00F02CDB" w:rsidRPr="00120D32">
        <w:rPr>
          <w:rFonts w:hint="cs"/>
          <w:rtl/>
        </w:rPr>
        <w:t xml:space="preserve">עונש מוות </w:t>
      </w:r>
      <w:r w:rsidR="00F11472" w:rsidRPr="00120D32">
        <w:rPr>
          <w:rFonts w:hint="cs"/>
          <w:rtl/>
        </w:rPr>
        <w:t>כנגד</w:t>
      </w:r>
      <w:r w:rsidR="00F02CDB" w:rsidRPr="00120D32">
        <w:rPr>
          <w:rFonts w:hint="cs"/>
          <w:rtl/>
        </w:rPr>
        <w:t xml:space="preserve"> עבירת </w:t>
      </w:r>
      <w:r w:rsidR="00670EBA" w:rsidRPr="00120D32">
        <w:rPr>
          <w:rFonts w:hint="cs"/>
          <w:rtl/>
        </w:rPr>
        <w:t xml:space="preserve">רצח או </w:t>
      </w:r>
      <w:r w:rsidR="00F02CDB" w:rsidRPr="00120D32">
        <w:rPr>
          <w:rFonts w:hint="cs"/>
          <w:rtl/>
        </w:rPr>
        <w:t>טבח</w:t>
      </w:r>
      <w:r w:rsidR="00F11472" w:rsidRPr="00120D32">
        <w:rPr>
          <w:rFonts w:hint="cs"/>
          <w:rtl/>
        </w:rPr>
        <w:t xml:space="preserve"> שבוצעה</w:t>
      </w:r>
      <w:r w:rsidR="00F02CDB" w:rsidRPr="00120D32">
        <w:rPr>
          <w:rFonts w:hint="cs"/>
          <w:rtl/>
        </w:rPr>
        <w:t xml:space="preserve"> בשליחות אויב או </w:t>
      </w:r>
      <w:r w:rsidR="00F11472" w:rsidRPr="00120D32">
        <w:rPr>
          <w:rFonts w:hint="cs"/>
          <w:rtl/>
        </w:rPr>
        <w:t xml:space="preserve">ארגון מחבלים. </w:t>
      </w:r>
    </w:p>
    <w:p w14:paraId="64417190" w14:textId="559FACD7" w:rsidR="00F02CDB" w:rsidRPr="00120D32" w:rsidRDefault="00120D32" w:rsidP="008E3ADB">
      <w:pPr>
        <w:pStyle w:val="Hesber"/>
      </w:pPr>
      <w:r w:rsidRPr="00120D32">
        <w:rPr>
          <w:rFonts w:hint="cs"/>
          <w:rtl/>
        </w:rPr>
        <w:t>על פי המצב החוקי כ</w:t>
      </w:r>
      <w:r w:rsidR="00F02CDB" w:rsidRPr="00120D32">
        <w:rPr>
          <w:rFonts w:hint="cs"/>
          <w:rtl/>
        </w:rPr>
        <w:t xml:space="preserve">יום, </w:t>
      </w:r>
      <w:r w:rsidR="00F11472" w:rsidRPr="00120D32">
        <w:rPr>
          <w:rFonts w:hint="cs"/>
          <w:rtl/>
        </w:rPr>
        <w:t xml:space="preserve">אם </w:t>
      </w:r>
      <w:r w:rsidR="00F02CDB" w:rsidRPr="00120D32">
        <w:rPr>
          <w:rFonts w:hint="cs"/>
          <w:rtl/>
        </w:rPr>
        <w:t xml:space="preserve">אדם ביצע יותר </w:t>
      </w:r>
      <w:r w:rsidR="00F11472" w:rsidRPr="00120D32">
        <w:rPr>
          <w:rFonts w:hint="cs"/>
          <w:rtl/>
        </w:rPr>
        <w:t>מ</w:t>
      </w:r>
      <w:r w:rsidR="00F02CDB" w:rsidRPr="00120D32">
        <w:rPr>
          <w:rFonts w:hint="cs"/>
          <w:rtl/>
        </w:rPr>
        <w:t xml:space="preserve">מעשה רצח אחד, </w:t>
      </w:r>
      <w:r w:rsidR="009D4C59" w:rsidRPr="00120D32">
        <w:rPr>
          <w:rFonts w:hint="cs"/>
          <w:rtl/>
        </w:rPr>
        <w:t>העונש המקסימלי שמוסמך בית המשפט להטיל</w:t>
      </w:r>
      <w:r w:rsidR="009D4C59">
        <w:rPr>
          <w:rFonts w:hint="cs"/>
          <w:rtl/>
        </w:rPr>
        <w:t xml:space="preserve"> על אדם</w:t>
      </w:r>
      <w:r w:rsidR="009D4C59" w:rsidRPr="00120D32">
        <w:rPr>
          <w:rFonts w:hint="cs"/>
          <w:rtl/>
        </w:rPr>
        <w:t xml:space="preserve"> הוא מאסר עולם</w:t>
      </w:r>
      <w:r w:rsidR="009D4C59">
        <w:rPr>
          <w:rFonts w:hint="cs"/>
          <w:rtl/>
        </w:rPr>
        <w:t xml:space="preserve">, </w:t>
      </w:r>
      <w:r w:rsidR="00F02CDB" w:rsidRPr="00120D32">
        <w:rPr>
          <w:rFonts w:hint="cs"/>
          <w:rtl/>
        </w:rPr>
        <w:t xml:space="preserve">אף </w:t>
      </w:r>
      <w:r w:rsidR="00F95903" w:rsidRPr="00120D32">
        <w:rPr>
          <w:rFonts w:hint="cs"/>
          <w:rtl/>
        </w:rPr>
        <w:t xml:space="preserve">אם </w:t>
      </w:r>
      <w:r w:rsidRPr="00120D32">
        <w:rPr>
          <w:rFonts w:hint="cs"/>
          <w:rtl/>
        </w:rPr>
        <w:t xml:space="preserve"> </w:t>
      </w:r>
      <w:r w:rsidR="00F95903" w:rsidRPr="00120D32">
        <w:rPr>
          <w:rFonts w:hint="cs"/>
          <w:rtl/>
        </w:rPr>
        <w:t xml:space="preserve">היה </w:t>
      </w:r>
      <w:r w:rsidR="00F02CDB" w:rsidRPr="00120D32">
        <w:rPr>
          <w:rFonts w:hint="cs"/>
          <w:rtl/>
        </w:rPr>
        <w:t xml:space="preserve">חבר בארגון טרור. במקרים </w:t>
      </w:r>
      <w:r w:rsidR="00F95903" w:rsidRPr="00120D32">
        <w:rPr>
          <w:rFonts w:hint="cs"/>
          <w:rtl/>
        </w:rPr>
        <w:t>מסוימים</w:t>
      </w:r>
      <w:r w:rsidR="00F02CDB" w:rsidRPr="00120D32">
        <w:rPr>
          <w:rFonts w:hint="cs"/>
          <w:rtl/>
        </w:rPr>
        <w:t xml:space="preserve">, בתי המשפט מבטאים את החומרה היתרה </w:t>
      </w:r>
      <w:r w:rsidR="00F95903" w:rsidRPr="00120D32">
        <w:rPr>
          <w:rFonts w:hint="cs"/>
          <w:rtl/>
        </w:rPr>
        <w:t>שב</w:t>
      </w:r>
      <w:r w:rsidR="00F02CDB" w:rsidRPr="00120D32">
        <w:rPr>
          <w:rFonts w:hint="cs"/>
          <w:rtl/>
        </w:rPr>
        <w:t xml:space="preserve">מעשים אלו על דרך הטלת מאסרי עולם מצטברים. כך למשל, על עבאס א-סייד, הרוצח שתכנן את הפיגוע במלון פארק בליל הסדר במרץ 2002, הוטלו 35 מאסרי עולם. </w:t>
      </w:r>
      <w:r w:rsidR="00F95903" w:rsidRPr="00120D32">
        <w:rPr>
          <w:rFonts w:hint="cs"/>
          <w:rtl/>
        </w:rPr>
        <w:t>כך גם</w:t>
      </w:r>
      <w:r w:rsidR="00F02CDB" w:rsidRPr="00120D32">
        <w:rPr>
          <w:rFonts w:hint="cs"/>
          <w:rtl/>
        </w:rPr>
        <w:t xml:space="preserve"> על המחבלים שביצעו את הרצח </w:t>
      </w:r>
      <w:r w:rsidRPr="00120D32">
        <w:rPr>
          <w:rFonts w:hint="cs"/>
          <w:rtl/>
        </w:rPr>
        <w:t>במתחם שרונה בתל אביב ביוני 2016</w:t>
      </w:r>
      <w:r w:rsidR="00F02CDB" w:rsidRPr="00120D32">
        <w:rPr>
          <w:rFonts w:hint="cs"/>
          <w:rtl/>
        </w:rPr>
        <w:t xml:space="preserve"> </w:t>
      </w:r>
      <w:r w:rsidR="008E3ADB">
        <w:rPr>
          <w:rFonts w:hint="cs"/>
          <w:rtl/>
        </w:rPr>
        <w:t>ש</w:t>
      </w:r>
      <w:r w:rsidR="00F02CDB" w:rsidRPr="00120D32">
        <w:rPr>
          <w:rFonts w:hint="cs"/>
          <w:rtl/>
        </w:rPr>
        <w:t>בו נרצחו ארבע</w:t>
      </w:r>
      <w:r w:rsidR="00C72873" w:rsidRPr="00120D32">
        <w:rPr>
          <w:rFonts w:hint="cs"/>
          <w:rtl/>
        </w:rPr>
        <w:t>ה</w:t>
      </w:r>
      <w:r w:rsidR="00F02CDB" w:rsidRPr="00120D32">
        <w:rPr>
          <w:rFonts w:hint="cs"/>
          <w:rtl/>
        </w:rPr>
        <w:t xml:space="preserve"> אנשים</w:t>
      </w:r>
      <w:r w:rsidR="00C72873" w:rsidRPr="00120D32">
        <w:rPr>
          <w:rFonts w:hint="cs"/>
          <w:rtl/>
        </w:rPr>
        <w:t>,</w:t>
      </w:r>
      <w:r w:rsidR="00F02CDB" w:rsidRPr="00120D32">
        <w:rPr>
          <w:rFonts w:hint="cs"/>
          <w:rtl/>
        </w:rPr>
        <w:t xml:space="preserve"> </w:t>
      </w:r>
      <w:r w:rsidR="00F95903" w:rsidRPr="00120D32">
        <w:rPr>
          <w:rFonts w:hint="cs"/>
          <w:rtl/>
        </w:rPr>
        <w:t>הוטלו</w:t>
      </w:r>
      <w:r w:rsidR="00F02CDB" w:rsidRPr="00120D32">
        <w:rPr>
          <w:rFonts w:hint="cs"/>
          <w:rtl/>
        </w:rPr>
        <w:t xml:space="preserve"> מאסרי עולם מצטברים.  </w:t>
      </w:r>
    </w:p>
    <w:p w14:paraId="174408CE" w14:textId="4EC7BD3A" w:rsidR="00F02CDB" w:rsidRPr="00120D32" w:rsidRDefault="00120D32" w:rsidP="00120D32">
      <w:pPr>
        <w:pStyle w:val="Hesber"/>
        <w:rPr>
          <w:rtl/>
        </w:rPr>
      </w:pPr>
      <w:r w:rsidRPr="00120D32">
        <w:rPr>
          <w:rFonts w:hint="cs"/>
          <w:rtl/>
        </w:rPr>
        <w:t>ואולם, הלכה למעשה</w:t>
      </w:r>
      <w:r w:rsidR="00F02CDB" w:rsidRPr="00120D32">
        <w:rPr>
          <w:rFonts w:hint="cs"/>
          <w:rtl/>
        </w:rPr>
        <w:t xml:space="preserve"> אין נפקות אמיתית ל</w:t>
      </w:r>
      <w:r w:rsidR="00B8698E" w:rsidRPr="00120D32">
        <w:rPr>
          <w:rFonts w:hint="cs"/>
          <w:rtl/>
        </w:rPr>
        <w:t xml:space="preserve">הטלת </w:t>
      </w:r>
      <w:r w:rsidR="00F02CDB" w:rsidRPr="00120D32">
        <w:rPr>
          <w:rFonts w:hint="cs"/>
          <w:rtl/>
        </w:rPr>
        <w:t>ע</w:t>
      </w:r>
      <w:r w:rsidR="00C72873" w:rsidRPr="00120D32">
        <w:rPr>
          <w:rFonts w:hint="cs"/>
          <w:rtl/>
        </w:rPr>
        <w:t>ונ</w:t>
      </w:r>
      <w:r w:rsidR="00F02CDB" w:rsidRPr="00120D32">
        <w:rPr>
          <w:rFonts w:hint="cs"/>
          <w:rtl/>
        </w:rPr>
        <w:t>ש</w:t>
      </w:r>
      <w:r w:rsidR="00F95903" w:rsidRPr="00120D32">
        <w:rPr>
          <w:rFonts w:hint="cs"/>
          <w:rtl/>
        </w:rPr>
        <w:t xml:space="preserve"> מאסר עולם</w:t>
      </w:r>
      <w:r w:rsidR="009D4C59">
        <w:rPr>
          <w:rFonts w:hint="cs"/>
          <w:rtl/>
        </w:rPr>
        <w:t xml:space="preserve"> מצטבר</w:t>
      </w:r>
      <w:r w:rsidR="00F02CDB" w:rsidRPr="00120D32">
        <w:rPr>
          <w:rFonts w:hint="cs"/>
          <w:rtl/>
        </w:rPr>
        <w:t xml:space="preserve">, מלבד בכל הקשור לקציבת עונשים אלו. </w:t>
      </w:r>
    </w:p>
    <w:p w14:paraId="66DFCCC2" w14:textId="069134E3" w:rsidR="00F02CDB" w:rsidRPr="00120D32" w:rsidRDefault="00F02CDB" w:rsidP="00120D32">
      <w:pPr>
        <w:pStyle w:val="Hesber"/>
        <w:rPr>
          <w:rtl/>
        </w:rPr>
      </w:pPr>
      <w:r w:rsidRPr="00120D32">
        <w:rPr>
          <w:rFonts w:hint="cs"/>
          <w:rtl/>
        </w:rPr>
        <w:t>על פי נתוני שירות הב</w:t>
      </w:r>
      <w:r w:rsidR="00C72873" w:rsidRPr="00120D32">
        <w:rPr>
          <w:rFonts w:hint="cs"/>
          <w:rtl/>
        </w:rPr>
        <w:t>י</w:t>
      </w:r>
      <w:r w:rsidRPr="00120D32">
        <w:rPr>
          <w:rFonts w:hint="cs"/>
          <w:rtl/>
        </w:rPr>
        <w:t>טחון הכללי</w:t>
      </w:r>
      <w:r w:rsidR="0001357F" w:rsidRPr="00120D32">
        <w:rPr>
          <w:rFonts w:hint="cs"/>
          <w:rtl/>
        </w:rPr>
        <w:t xml:space="preserve"> </w:t>
      </w:r>
      <w:r w:rsidRPr="00120D32">
        <w:rPr>
          <w:rFonts w:hint="cs"/>
          <w:rtl/>
        </w:rPr>
        <w:t>עדיין קיימת מוטיבציה גבוה</w:t>
      </w:r>
      <w:r w:rsidR="0001357F" w:rsidRPr="00120D32">
        <w:rPr>
          <w:rFonts w:hint="cs"/>
          <w:rtl/>
        </w:rPr>
        <w:t>ה</w:t>
      </w:r>
      <w:r w:rsidRPr="00120D32">
        <w:rPr>
          <w:rFonts w:hint="cs"/>
          <w:rtl/>
        </w:rPr>
        <w:t xml:space="preserve"> בקרב ארגוני הטרור להביא לקטל של ישראלים רבים ככל הניתן</w:t>
      </w:r>
      <w:r w:rsidR="0001357F" w:rsidRPr="00120D32">
        <w:rPr>
          <w:rFonts w:hint="cs"/>
          <w:rtl/>
        </w:rPr>
        <w:t>. הנתונים מלמדים כי</w:t>
      </w:r>
      <w:r w:rsidRPr="00120D32">
        <w:rPr>
          <w:rFonts w:hint="cs"/>
          <w:rtl/>
        </w:rPr>
        <w:t xml:space="preserve"> מנעד הענישה הקיי</w:t>
      </w:r>
      <w:r w:rsidR="0001357F" w:rsidRPr="00120D32">
        <w:rPr>
          <w:rFonts w:hint="cs"/>
          <w:rtl/>
        </w:rPr>
        <w:t>ם</w:t>
      </w:r>
      <w:r w:rsidRPr="00120D32">
        <w:rPr>
          <w:rFonts w:hint="cs"/>
          <w:rtl/>
        </w:rPr>
        <w:t xml:space="preserve"> אינו מרתיע. </w:t>
      </w:r>
    </w:p>
    <w:p w14:paraId="2D83A2EB" w14:textId="510C8565" w:rsidR="00F02CDB" w:rsidRPr="00120D32" w:rsidRDefault="00F02CDB" w:rsidP="00120D32">
      <w:pPr>
        <w:pStyle w:val="Hesber"/>
        <w:rPr>
          <w:rtl/>
        </w:rPr>
      </w:pPr>
      <w:r w:rsidRPr="00120D32">
        <w:rPr>
          <w:rFonts w:hint="cs"/>
          <w:rtl/>
        </w:rPr>
        <w:t>בנסיבות אלה, שעה שפיגועי הטרור הרצחניים ממשיכים והעונשים שמוטלים על ידי בתי המשפט אינם מרתיעים, קיים צורך חקיקתי, חברתי וציבורי בענישה שיהא בה כדי למגר את פיגוע</w:t>
      </w:r>
      <w:r w:rsidR="00C72873" w:rsidRPr="00120D32">
        <w:rPr>
          <w:rFonts w:hint="cs"/>
          <w:rtl/>
        </w:rPr>
        <w:t>י</w:t>
      </w:r>
      <w:r w:rsidRPr="00120D32">
        <w:rPr>
          <w:rFonts w:hint="cs"/>
          <w:rtl/>
        </w:rPr>
        <w:t xml:space="preserve"> הטרור</w:t>
      </w:r>
      <w:r w:rsidR="0001357F" w:rsidRPr="00120D32">
        <w:rPr>
          <w:rFonts w:hint="cs"/>
          <w:rtl/>
        </w:rPr>
        <w:t>.</w:t>
      </w:r>
    </w:p>
    <w:p w14:paraId="2E0DEB70" w14:textId="49E50AB5" w:rsidR="00F02CDB" w:rsidRPr="00120D32" w:rsidRDefault="00F02CDB" w:rsidP="00120D32">
      <w:pPr>
        <w:pStyle w:val="Hesber"/>
      </w:pPr>
      <w:r w:rsidRPr="00120D32">
        <w:rPr>
          <w:rFonts w:hint="cs"/>
          <w:rtl/>
        </w:rPr>
        <w:t>תיקו</w:t>
      </w:r>
      <w:r w:rsidR="00C72873" w:rsidRPr="00120D32">
        <w:rPr>
          <w:rFonts w:hint="cs"/>
          <w:rtl/>
        </w:rPr>
        <w:t>נים</w:t>
      </w:r>
      <w:r w:rsidRPr="00120D32">
        <w:rPr>
          <w:rFonts w:hint="cs"/>
          <w:rtl/>
        </w:rPr>
        <w:t xml:space="preserve"> </w:t>
      </w:r>
      <w:r w:rsidR="00C72873" w:rsidRPr="00120D32">
        <w:rPr>
          <w:rFonts w:hint="cs"/>
          <w:rtl/>
        </w:rPr>
        <w:t>אלה מוצעים</w:t>
      </w:r>
      <w:r w:rsidRPr="00120D32">
        <w:rPr>
          <w:rFonts w:hint="cs"/>
          <w:rtl/>
        </w:rPr>
        <w:t xml:space="preserve"> מתוך הכרה בכך ש</w:t>
      </w:r>
      <w:r w:rsidRPr="00120D32">
        <w:rPr>
          <w:rtl/>
        </w:rPr>
        <w:t xml:space="preserve">הזכות לחיים היא הזכות הראשונה במעלה והבסיסית ביותר. </w:t>
      </w:r>
      <w:r w:rsidRPr="00120D32">
        <w:rPr>
          <w:rFonts w:hint="cs"/>
          <w:rtl/>
        </w:rPr>
        <w:t>ה</w:t>
      </w:r>
      <w:r w:rsidRPr="00120D32">
        <w:rPr>
          <w:rtl/>
        </w:rPr>
        <w:t xml:space="preserve">הגנה על החיים היא הגנה על התשתית המאפשרת דיון משמעותי בזכויות האדם. </w:t>
      </w:r>
      <w:r w:rsidRPr="00120D32">
        <w:rPr>
          <w:rFonts w:hint="cs"/>
          <w:rtl/>
        </w:rPr>
        <w:t>החברה אינה יכולה לעמוד מנגד בשעה שמחבלים שנמצאו אשמים בביצוע מעשי המתה רבים כחלק מאידיאולוגיה, "</w:t>
      </w:r>
      <w:r w:rsidR="0001357F" w:rsidRPr="00120D32">
        <w:rPr>
          <w:rFonts w:hint="cs"/>
          <w:rtl/>
        </w:rPr>
        <w:t>מבלים"</w:t>
      </w:r>
      <w:r w:rsidRPr="00120D32">
        <w:rPr>
          <w:rFonts w:hint="cs"/>
          <w:rtl/>
        </w:rPr>
        <w:t xml:space="preserve"> בבתי הסוהר, משתחררים בעסקאות וחוזרים לבצע מעשי טרור.</w:t>
      </w:r>
      <w:r w:rsidRPr="00120D32">
        <w:rPr>
          <w:rtl/>
        </w:rPr>
        <w:t xml:space="preserve"> </w:t>
      </w:r>
    </w:p>
    <w:p w14:paraId="2697210F" w14:textId="7A8D4AB5" w:rsidR="00F02CDB" w:rsidRPr="00120D32" w:rsidRDefault="008E3ADB" w:rsidP="00120D32">
      <w:pPr>
        <w:pStyle w:val="Hesber"/>
        <w:rPr>
          <w:rtl/>
        </w:rPr>
      </w:pPr>
      <w:r>
        <w:rPr>
          <w:rFonts w:hint="cs"/>
          <w:rtl/>
        </w:rPr>
        <w:lastRenderedPageBreak/>
        <w:t>כמו כן</w:t>
      </w:r>
      <w:r w:rsidR="009E7E33" w:rsidRPr="00120D32">
        <w:rPr>
          <w:rFonts w:hint="cs"/>
          <w:rtl/>
        </w:rPr>
        <w:t xml:space="preserve">, </w:t>
      </w:r>
      <w:r w:rsidR="00F02CDB" w:rsidRPr="00120D32">
        <w:rPr>
          <w:rFonts w:hint="cs"/>
          <w:rtl/>
        </w:rPr>
        <w:t xml:space="preserve">מה </w:t>
      </w:r>
      <w:r w:rsidR="009E7E33" w:rsidRPr="00120D32">
        <w:rPr>
          <w:rFonts w:hint="cs"/>
          <w:rtl/>
        </w:rPr>
        <w:t>שמכונה</w:t>
      </w:r>
      <w:r w:rsidR="00F02CDB" w:rsidRPr="00120D32">
        <w:rPr>
          <w:rFonts w:hint="cs"/>
          <w:rtl/>
        </w:rPr>
        <w:t xml:space="preserve"> כ"טרור יחידים"</w:t>
      </w:r>
      <w:r w:rsidR="00C72873" w:rsidRPr="00120D32">
        <w:rPr>
          <w:rFonts w:hint="cs"/>
          <w:rtl/>
        </w:rPr>
        <w:t>,</w:t>
      </w:r>
      <w:r w:rsidR="00F02CDB" w:rsidRPr="00120D32">
        <w:rPr>
          <w:rFonts w:hint="cs"/>
          <w:rtl/>
        </w:rPr>
        <w:t xml:space="preserve"> אינו אלא חלק ממערך סדור של הסתה מאורגנת באמצעות רשתות חברתיות ומערכות תומכות טרור. ביזור מערך השליטה במחבלים לא צריך להשפיע על המהות, והיא </w:t>
      </w:r>
      <w:r w:rsidR="00C72873" w:rsidRPr="00120D32">
        <w:rPr>
          <w:rFonts w:hint="cs"/>
          <w:rtl/>
        </w:rPr>
        <w:t>שהמסייע לאויב</w:t>
      </w:r>
      <w:r w:rsidR="00814938" w:rsidRPr="00120D32">
        <w:rPr>
          <w:rFonts w:hint="cs"/>
          <w:rtl/>
        </w:rPr>
        <w:t>, יש</w:t>
      </w:r>
      <w:r w:rsidR="00F02CDB" w:rsidRPr="00120D32">
        <w:rPr>
          <w:rFonts w:hint="cs"/>
          <w:rtl/>
        </w:rPr>
        <w:t xml:space="preserve"> </w:t>
      </w:r>
      <w:r w:rsidR="00814938" w:rsidRPr="00120D32">
        <w:rPr>
          <w:rFonts w:hint="cs"/>
          <w:rtl/>
        </w:rPr>
        <w:t xml:space="preserve">למצות עמו את </w:t>
      </w:r>
      <w:r w:rsidR="00F02CDB" w:rsidRPr="00120D32">
        <w:rPr>
          <w:rFonts w:hint="cs"/>
          <w:rtl/>
        </w:rPr>
        <w:t>הדין</w:t>
      </w:r>
      <w:r w:rsidR="009E7E33" w:rsidRPr="00120D32">
        <w:rPr>
          <w:rFonts w:hint="cs"/>
          <w:rtl/>
        </w:rPr>
        <w:t xml:space="preserve">, בדמות עונש מוות או </w:t>
      </w:r>
      <w:r w:rsidR="00F02CDB" w:rsidRPr="00120D32">
        <w:rPr>
          <w:rFonts w:hint="cs"/>
          <w:rtl/>
        </w:rPr>
        <w:t>מאסר עולם</w:t>
      </w:r>
      <w:r w:rsidR="009E7E33" w:rsidRPr="00120D32">
        <w:rPr>
          <w:rFonts w:hint="cs"/>
          <w:rtl/>
        </w:rPr>
        <w:t>.</w:t>
      </w:r>
    </w:p>
    <w:p w14:paraId="1489BEDD" w14:textId="34C14E87" w:rsidR="00F02CDB" w:rsidRPr="00120D32" w:rsidRDefault="009E7E33" w:rsidP="00120D32">
      <w:pPr>
        <w:pStyle w:val="Hesber"/>
        <w:rPr>
          <w:rtl/>
        </w:rPr>
      </w:pPr>
      <w:r w:rsidRPr="00120D32">
        <w:rPr>
          <w:rFonts w:hint="cs"/>
          <w:rtl/>
        </w:rPr>
        <w:t>לפי סעיף 96 לחוק, עונש מוות יוטל רק כנגד עבירה שנעברה בתקופה בה</w:t>
      </w:r>
      <w:r w:rsidR="00814938" w:rsidRPr="00120D32">
        <w:rPr>
          <w:rFonts w:hint="cs"/>
          <w:rtl/>
        </w:rPr>
        <w:t xml:space="preserve"> </w:t>
      </w:r>
      <w:r w:rsidR="00F02CDB" w:rsidRPr="00120D32">
        <w:rPr>
          <w:rtl/>
        </w:rPr>
        <w:t>מתנהלות פעולות איבה צבאיות של ישראל או נגדה</w:t>
      </w:r>
      <w:r w:rsidR="00814938" w:rsidRPr="00120D32">
        <w:rPr>
          <w:rFonts w:hint="cs"/>
          <w:rtl/>
        </w:rPr>
        <w:t xml:space="preserve">. </w:t>
      </w:r>
      <w:r w:rsidR="00F02CDB" w:rsidRPr="00120D32">
        <w:rPr>
          <w:rFonts w:hint="cs"/>
          <w:rtl/>
        </w:rPr>
        <w:t>ביחס למלחמה בטרור, הגבלה זו נעדרת היגיון.</w:t>
      </w:r>
      <w:r w:rsidRPr="00120D32">
        <w:t xml:space="preserve"> </w:t>
      </w:r>
      <w:r w:rsidR="00120D32" w:rsidRPr="00120D32">
        <w:rPr>
          <w:rFonts w:hint="cs"/>
          <w:rtl/>
        </w:rPr>
        <w:t>מאז הקמת מדינת ישראל</w:t>
      </w:r>
      <w:r w:rsidR="00F02CDB" w:rsidRPr="00120D32">
        <w:rPr>
          <w:rFonts w:hint="cs"/>
          <w:rtl/>
        </w:rPr>
        <w:t xml:space="preserve"> אזרחיה נאלצו להתמודד עם</w:t>
      </w:r>
      <w:r w:rsidR="00120D32" w:rsidRPr="00120D32">
        <w:rPr>
          <w:rFonts w:hint="cs"/>
          <w:rtl/>
        </w:rPr>
        <w:t xml:space="preserve"> אלפי פיגועים שהביאם לרצח </w:t>
      </w:r>
      <w:r w:rsidR="00814938" w:rsidRPr="00120D32">
        <w:rPr>
          <w:rFonts w:hint="cs"/>
          <w:rtl/>
        </w:rPr>
        <w:t>רבים</w:t>
      </w:r>
      <w:r w:rsidR="00F02CDB" w:rsidRPr="00120D32">
        <w:rPr>
          <w:rFonts w:hint="cs"/>
          <w:rtl/>
        </w:rPr>
        <w:t xml:space="preserve">. מרבית פעולות הטרור בוצעו שלא בתקופה שבה "מתנהלות פעולות איבה צבאיות". ההגבלה </w:t>
      </w:r>
      <w:r w:rsidR="008E3ADB">
        <w:rPr>
          <w:rFonts w:hint="cs"/>
          <w:rtl/>
        </w:rPr>
        <w:t xml:space="preserve">הקבועה </w:t>
      </w:r>
      <w:r w:rsidR="00F02CDB" w:rsidRPr="00120D32">
        <w:rPr>
          <w:rFonts w:hint="cs"/>
          <w:rtl/>
        </w:rPr>
        <w:t xml:space="preserve">בסעיף </w:t>
      </w:r>
      <w:r w:rsidR="008E3ADB">
        <w:rPr>
          <w:rFonts w:hint="cs"/>
          <w:rtl/>
        </w:rPr>
        <w:t xml:space="preserve"> </w:t>
      </w:r>
      <w:r w:rsidR="00F02CDB" w:rsidRPr="00120D32">
        <w:rPr>
          <w:rFonts w:hint="cs"/>
          <w:rtl/>
        </w:rPr>
        <w:t xml:space="preserve">96 </w:t>
      </w:r>
      <w:r w:rsidR="008E3ADB">
        <w:rPr>
          <w:rFonts w:hint="cs"/>
          <w:rtl/>
        </w:rPr>
        <w:t xml:space="preserve">לחוק </w:t>
      </w:r>
      <w:r w:rsidR="00F02CDB" w:rsidRPr="00120D32">
        <w:rPr>
          <w:rFonts w:hint="cs"/>
          <w:rtl/>
        </w:rPr>
        <w:t>הביאה למצב אבסורד</w:t>
      </w:r>
      <w:r w:rsidR="009D4C59">
        <w:rPr>
          <w:rFonts w:hint="cs"/>
          <w:rtl/>
        </w:rPr>
        <w:t>י</w:t>
      </w:r>
      <w:r w:rsidR="00F02CDB" w:rsidRPr="00120D32">
        <w:rPr>
          <w:rFonts w:hint="cs"/>
          <w:rtl/>
        </w:rPr>
        <w:t xml:space="preserve"> לפיו אם </w:t>
      </w:r>
      <w:r w:rsidR="00120D32" w:rsidRPr="00120D32">
        <w:rPr>
          <w:rFonts w:hint="cs"/>
          <w:rtl/>
        </w:rPr>
        <w:t>בוצע</w:t>
      </w:r>
      <w:r w:rsidR="00F02CDB" w:rsidRPr="00120D32">
        <w:rPr>
          <w:rFonts w:hint="cs"/>
          <w:rtl/>
        </w:rPr>
        <w:t xml:space="preserve"> מעשה רצח אחד בתקופה שבה מתנהלות פעולות איבה, בית המשפט </w:t>
      </w:r>
      <w:r w:rsidR="00120D32" w:rsidRPr="00120D32">
        <w:rPr>
          <w:rFonts w:hint="cs"/>
          <w:rtl/>
        </w:rPr>
        <w:t>י</w:t>
      </w:r>
      <w:r w:rsidRPr="00120D32">
        <w:rPr>
          <w:rFonts w:hint="cs"/>
          <w:rtl/>
        </w:rPr>
        <w:t xml:space="preserve">היה </w:t>
      </w:r>
      <w:r w:rsidR="00F02CDB" w:rsidRPr="00120D32">
        <w:rPr>
          <w:rFonts w:hint="cs"/>
          <w:rtl/>
        </w:rPr>
        <w:t xml:space="preserve">מוסמך להטיל </w:t>
      </w:r>
      <w:r w:rsidR="00120D32" w:rsidRPr="00120D32">
        <w:rPr>
          <w:rFonts w:hint="cs"/>
          <w:rtl/>
        </w:rPr>
        <w:t xml:space="preserve">על המבצע </w:t>
      </w:r>
      <w:r w:rsidR="00F02CDB" w:rsidRPr="00120D32">
        <w:rPr>
          <w:rFonts w:hint="cs"/>
          <w:rtl/>
        </w:rPr>
        <w:t xml:space="preserve">עונש </w:t>
      </w:r>
      <w:r w:rsidR="00120D32" w:rsidRPr="00120D32">
        <w:rPr>
          <w:rFonts w:hint="cs"/>
          <w:rtl/>
        </w:rPr>
        <w:t>מוות. מנגד,</w:t>
      </w:r>
      <w:r w:rsidR="00F02CDB" w:rsidRPr="00120D32">
        <w:rPr>
          <w:rFonts w:hint="cs"/>
          <w:rtl/>
        </w:rPr>
        <w:t xml:space="preserve"> אילו </w:t>
      </w:r>
      <w:r w:rsidRPr="00120D32">
        <w:rPr>
          <w:rFonts w:hint="cs"/>
          <w:rtl/>
        </w:rPr>
        <w:t>ב</w:t>
      </w:r>
      <w:r w:rsidR="00120D32" w:rsidRPr="00120D32">
        <w:rPr>
          <w:rFonts w:hint="cs"/>
          <w:rtl/>
        </w:rPr>
        <w:t>ו</w:t>
      </w:r>
      <w:r w:rsidRPr="00120D32">
        <w:rPr>
          <w:rFonts w:hint="cs"/>
          <w:rtl/>
        </w:rPr>
        <w:t>צע</w:t>
      </w:r>
      <w:r w:rsidR="00120D32" w:rsidRPr="00120D32">
        <w:rPr>
          <w:rFonts w:hint="cs"/>
          <w:rtl/>
        </w:rPr>
        <w:t>ו</w:t>
      </w:r>
      <w:r w:rsidRPr="00120D32">
        <w:rPr>
          <w:rFonts w:hint="cs"/>
          <w:rtl/>
        </w:rPr>
        <w:t xml:space="preserve"> מספר מעשי רצח</w:t>
      </w:r>
      <w:r w:rsidR="00F02CDB" w:rsidRPr="00120D32">
        <w:rPr>
          <w:rFonts w:hint="cs"/>
          <w:rtl/>
        </w:rPr>
        <w:t xml:space="preserve"> בתקופה אחרת, בית המשפט </w:t>
      </w:r>
      <w:r w:rsidR="00120D32" w:rsidRPr="00120D32">
        <w:rPr>
          <w:rFonts w:hint="cs"/>
          <w:rtl/>
        </w:rPr>
        <w:t>י</w:t>
      </w:r>
      <w:r w:rsidR="00355DB3" w:rsidRPr="00120D32">
        <w:rPr>
          <w:rFonts w:hint="cs"/>
          <w:rtl/>
        </w:rPr>
        <w:t xml:space="preserve">היה </w:t>
      </w:r>
      <w:r w:rsidR="00F02CDB" w:rsidRPr="00120D32">
        <w:rPr>
          <w:rFonts w:hint="cs"/>
          <w:rtl/>
        </w:rPr>
        <w:t>מנוע מל</w:t>
      </w:r>
      <w:r w:rsidR="00355DB3" w:rsidRPr="00120D32">
        <w:rPr>
          <w:rFonts w:hint="cs"/>
          <w:rtl/>
        </w:rPr>
        <w:t>ה</w:t>
      </w:r>
      <w:r w:rsidR="00F02CDB" w:rsidRPr="00120D32">
        <w:rPr>
          <w:rFonts w:hint="cs"/>
          <w:rtl/>
        </w:rPr>
        <w:t>טיל עונש מוות.</w:t>
      </w:r>
    </w:p>
    <w:p w14:paraId="5A892DCA" w14:textId="1401B87D" w:rsidR="00F02CDB" w:rsidRPr="00120D32" w:rsidRDefault="00F02CDB" w:rsidP="008E3ADB">
      <w:pPr>
        <w:pStyle w:val="Hesber"/>
        <w:rPr>
          <w:rtl/>
        </w:rPr>
      </w:pPr>
      <w:r w:rsidRPr="00120D32">
        <w:rPr>
          <w:rFonts w:hint="cs"/>
          <w:rtl/>
        </w:rPr>
        <w:t>הצעת החוק נועדה לת</w:t>
      </w:r>
      <w:r w:rsidR="008E3ADB">
        <w:rPr>
          <w:rFonts w:hint="cs"/>
          <w:rtl/>
        </w:rPr>
        <w:t>קן</w:t>
      </w:r>
      <w:r w:rsidR="00120D32" w:rsidRPr="00120D32">
        <w:rPr>
          <w:rFonts w:hint="cs"/>
          <w:rtl/>
        </w:rPr>
        <w:t xml:space="preserve"> עיוות זה, ולאפשר מתן ביטוי אמי</w:t>
      </w:r>
      <w:r w:rsidRPr="00120D32">
        <w:rPr>
          <w:rFonts w:hint="cs"/>
          <w:rtl/>
        </w:rPr>
        <w:t xml:space="preserve">תי לסלידה של החברה מעבירות מסוג זה, ולאפשר התמודדות אמיתית עם הטרור הרצחני. </w:t>
      </w:r>
    </w:p>
    <w:p w14:paraId="447CE578" w14:textId="22076459" w:rsidR="00F02CDB" w:rsidRDefault="009D4C59" w:rsidP="00227970">
      <w:pPr>
        <w:pStyle w:val="Hesber"/>
        <w:rPr>
          <w:rtl/>
        </w:rPr>
      </w:pPr>
      <w:r>
        <w:rPr>
          <w:rFonts w:hint="cs"/>
          <w:rtl/>
        </w:rPr>
        <w:t xml:space="preserve">מוצע לקבוע בחוק עבירת טבח, שהעונש עליה יהיה עונש מוות או מאסר עולם חובה. מוצע כי בעבירה זו ניתן יהיה לגזור עונש מוות על אדם, גם אם המעשה התבצע בתקופה בה לא </w:t>
      </w:r>
      <w:r w:rsidR="00227970">
        <w:rPr>
          <w:rFonts w:hint="cs"/>
          <w:rtl/>
        </w:rPr>
        <w:t>מתנהלות</w:t>
      </w:r>
      <w:r>
        <w:rPr>
          <w:rFonts w:hint="cs"/>
          <w:rtl/>
        </w:rPr>
        <w:t xml:space="preserve"> </w:t>
      </w:r>
      <w:r w:rsidR="00227970">
        <w:rPr>
          <w:rFonts w:hint="cs"/>
          <w:rtl/>
        </w:rPr>
        <w:t>פעולות איבה נגד מדינת ישראל</w:t>
      </w:r>
      <w:r>
        <w:rPr>
          <w:rFonts w:hint="cs"/>
          <w:rtl/>
        </w:rPr>
        <w:t>. בהתאם מוצע להוסיף על עונש מאסר העולם הקבוע בסעיף 39 לחוק המאבק בטרור (העוסק גם הוא במעשה טבח בציבור גדול), עונש מוות.</w:t>
      </w:r>
    </w:p>
    <w:p w14:paraId="210F61CA" w14:textId="24C0887E" w:rsidR="008E3ADB" w:rsidRDefault="008E3ADB" w:rsidP="00227970">
      <w:pPr>
        <w:pStyle w:val="Hesber"/>
        <w:rPr>
          <w:rtl/>
        </w:rPr>
      </w:pPr>
    </w:p>
    <w:p w14:paraId="1BF86ED4" w14:textId="77777777" w:rsidR="008E3ADB" w:rsidRDefault="008E3ADB" w:rsidP="00227970">
      <w:pPr>
        <w:pStyle w:val="Hesber"/>
        <w:rPr>
          <w:rtl/>
        </w:rPr>
      </w:pPr>
    </w:p>
    <w:p w14:paraId="28874151" w14:textId="77777777" w:rsidR="008E3ADB" w:rsidRPr="00D73212" w:rsidRDefault="008E3ADB" w:rsidP="008E3ADB">
      <w:pPr>
        <w:pStyle w:val="Hesber"/>
        <w:rPr>
          <w:color w:val="auto"/>
          <w:rtl/>
          <w:lang w:eastAsia="en-US"/>
        </w:rPr>
      </w:pPr>
      <w:r w:rsidRPr="00D73212">
        <w:rPr>
          <w:color w:val="auto"/>
          <w:rtl/>
          <w:lang w:eastAsia="en-US"/>
        </w:rPr>
        <w:t>---------------------------------</w:t>
      </w:r>
    </w:p>
    <w:p w14:paraId="67E19B63" w14:textId="77777777" w:rsidR="008E3ADB" w:rsidRPr="00D73212" w:rsidRDefault="008E3ADB" w:rsidP="008E3ADB">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5513126F" w14:textId="77777777" w:rsidR="008E3ADB" w:rsidRPr="00D73212" w:rsidRDefault="008E3ADB" w:rsidP="008E3ADB">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57B714A0" w14:textId="77777777" w:rsidR="008E3ADB" w:rsidRPr="00317312" w:rsidRDefault="008E3ADB" w:rsidP="008E3ADB">
      <w:pPr>
        <w:pStyle w:val="Hesber"/>
      </w:pPr>
      <w:r>
        <w:rPr>
          <w:rFonts w:hint="cs"/>
          <w:color w:val="auto"/>
          <w:rtl/>
          <w:lang w:eastAsia="en-US"/>
        </w:rPr>
        <w:t>כ"ח בטבת</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15.1</w:t>
      </w:r>
      <w:r w:rsidRPr="00D73212">
        <w:rPr>
          <w:color w:val="auto"/>
          <w:rtl/>
          <w:lang w:eastAsia="en-US"/>
        </w:rPr>
        <w:t>.</w:t>
      </w:r>
      <w:r>
        <w:rPr>
          <w:rFonts w:hint="cs"/>
          <w:color w:val="auto"/>
          <w:rtl/>
          <w:lang w:eastAsia="en-US"/>
        </w:rPr>
        <w:t>18</w:t>
      </w:r>
    </w:p>
    <w:p w14:paraId="68A7229B" w14:textId="77777777" w:rsidR="008E3ADB" w:rsidRPr="00120D32" w:rsidRDefault="008E3ADB" w:rsidP="00227970">
      <w:pPr>
        <w:pStyle w:val="Hesber"/>
        <w:rPr>
          <w:rtl/>
        </w:rPr>
      </w:pPr>
      <w:bookmarkStart w:id="8" w:name="_GoBack"/>
      <w:bookmarkEnd w:id="8"/>
    </w:p>
    <w:p w14:paraId="2FF66D26" w14:textId="77777777" w:rsidR="00A01C30" w:rsidRPr="001F22F5" w:rsidRDefault="00A01C30" w:rsidP="00F20969">
      <w:pPr>
        <w:pStyle w:val="P00"/>
        <w:spacing w:before="72"/>
        <w:ind w:left="0"/>
        <w:rPr>
          <w:rFonts w:cs="FrankRuehl"/>
          <w:sz w:val="26"/>
          <w:rtl/>
        </w:rPr>
      </w:pPr>
      <w:bookmarkStart w:id="9" w:name="Rov891"/>
      <w:bookmarkStart w:id="10" w:name="Seif502"/>
      <w:bookmarkStart w:id="11" w:name="Seif103"/>
      <w:bookmarkEnd w:id="9"/>
      <w:bookmarkEnd w:id="10"/>
      <w:bookmarkEnd w:id="11"/>
    </w:p>
    <w:sectPr w:rsidR="00A01C30" w:rsidRPr="001F22F5"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8E3ADB">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6618B643" w14:textId="29FC334F" w:rsidR="00DC0328" w:rsidRDefault="00DC0328" w:rsidP="00463934">
      <w:pPr>
        <w:pStyle w:val="a4"/>
        <w:rPr>
          <w:rtl/>
        </w:rPr>
      </w:pPr>
      <w:r>
        <w:rPr>
          <w:rStyle w:val="a5"/>
        </w:rPr>
        <w:footnoteRef/>
      </w:r>
      <w:r>
        <w:rPr>
          <w:rtl/>
        </w:rPr>
        <w:t xml:space="preserve"> </w:t>
      </w:r>
      <w:r w:rsidR="00463934">
        <w:rPr>
          <w:rFonts w:hint="cs"/>
          <w:rtl/>
        </w:rPr>
        <w:t>ס"ח התשל"ז, עמ' 226.</w:t>
      </w:r>
    </w:p>
  </w:footnote>
  <w:footnote w:id="3">
    <w:p w14:paraId="1F77D6B4" w14:textId="19107B5D" w:rsidR="001366D1" w:rsidRDefault="001366D1">
      <w:pPr>
        <w:pStyle w:val="a4"/>
        <w:rPr>
          <w:rtl/>
        </w:rPr>
      </w:pPr>
      <w:r>
        <w:rPr>
          <w:rStyle w:val="a5"/>
        </w:rPr>
        <w:footnoteRef/>
      </w:r>
      <w:r>
        <w:rPr>
          <w:rtl/>
        </w:rPr>
        <w:t xml:space="preserve"> </w:t>
      </w:r>
      <w:r>
        <w:rPr>
          <w:rFonts w:hint="cs"/>
          <w:rtl/>
        </w:rPr>
        <w:t>ס"ח התשע"ו, עמ' 898.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A404A"/>
    <w:multiLevelType w:val="hybridMultilevel"/>
    <w:tmpl w:val="2A26776E"/>
    <w:lvl w:ilvl="0" w:tplc="32E866C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24927"/>
    <w:multiLevelType w:val="hybridMultilevel"/>
    <w:tmpl w:val="2B70BD86"/>
    <w:lvl w:ilvl="0" w:tplc="CE2C224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357F"/>
    <w:rsid w:val="00015B27"/>
    <w:rsid w:val="00063A3E"/>
    <w:rsid w:val="00072CAC"/>
    <w:rsid w:val="0007681A"/>
    <w:rsid w:val="000A542E"/>
    <w:rsid w:val="000A63DE"/>
    <w:rsid w:val="000C3C0C"/>
    <w:rsid w:val="00102B6B"/>
    <w:rsid w:val="001052D4"/>
    <w:rsid w:val="0010644B"/>
    <w:rsid w:val="001207F8"/>
    <w:rsid w:val="00120D32"/>
    <w:rsid w:val="00121924"/>
    <w:rsid w:val="001279A8"/>
    <w:rsid w:val="001366D1"/>
    <w:rsid w:val="0014195F"/>
    <w:rsid w:val="00152609"/>
    <w:rsid w:val="00153E1B"/>
    <w:rsid w:val="001A0623"/>
    <w:rsid w:val="001C23B0"/>
    <w:rsid w:val="001D7AAF"/>
    <w:rsid w:val="001F22F5"/>
    <w:rsid w:val="00203A7F"/>
    <w:rsid w:val="0021633A"/>
    <w:rsid w:val="002200A1"/>
    <w:rsid w:val="00227970"/>
    <w:rsid w:val="002362BF"/>
    <w:rsid w:val="00241B97"/>
    <w:rsid w:val="002425D1"/>
    <w:rsid w:val="00246756"/>
    <w:rsid w:val="00251E58"/>
    <w:rsid w:val="00254605"/>
    <w:rsid w:val="00266D86"/>
    <w:rsid w:val="002728B4"/>
    <w:rsid w:val="0027600C"/>
    <w:rsid w:val="00291D03"/>
    <w:rsid w:val="00292712"/>
    <w:rsid w:val="002A487D"/>
    <w:rsid w:val="002C2E29"/>
    <w:rsid w:val="002C3041"/>
    <w:rsid w:val="002D1EE3"/>
    <w:rsid w:val="002F1D80"/>
    <w:rsid w:val="003232A2"/>
    <w:rsid w:val="00325C14"/>
    <w:rsid w:val="00355DB3"/>
    <w:rsid w:val="0036422C"/>
    <w:rsid w:val="003710F6"/>
    <w:rsid w:val="00372CDC"/>
    <w:rsid w:val="00386E88"/>
    <w:rsid w:val="00393879"/>
    <w:rsid w:val="00396585"/>
    <w:rsid w:val="003D6E38"/>
    <w:rsid w:val="003D74A0"/>
    <w:rsid w:val="004033D8"/>
    <w:rsid w:val="004073F0"/>
    <w:rsid w:val="00412A7D"/>
    <w:rsid w:val="004142D0"/>
    <w:rsid w:val="00416B4D"/>
    <w:rsid w:val="00417CFC"/>
    <w:rsid w:val="00463934"/>
    <w:rsid w:val="004A06DC"/>
    <w:rsid w:val="004B24ED"/>
    <w:rsid w:val="004B6625"/>
    <w:rsid w:val="004D2D82"/>
    <w:rsid w:val="004D3876"/>
    <w:rsid w:val="004E1BFD"/>
    <w:rsid w:val="004E4552"/>
    <w:rsid w:val="004E6CDF"/>
    <w:rsid w:val="00553C9D"/>
    <w:rsid w:val="00562A66"/>
    <w:rsid w:val="00572790"/>
    <w:rsid w:val="005B064E"/>
    <w:rsid w:val="005D51AE"/>
    <w:rsid w:val="0062674B"/>
    <w:rsid w:val="006363B2"/>
    <w:rsid w:val="00644940"/>
    <w:rsid w:val="00670EBA"/>
    <w:rsid w:val="006818A9"/>
    <w:rsid w:val="00686262"/>
    <w:rsid w:val="006A2D81"/>
    <w:rsid w:val="006C1D0D"/>
    <w:rsid w:val="0070601E"/>
    <w:rsid w:val="00712C72"/>
    <w:rsid w:val="00713121"/>
    <w:rsid w:val="00735FE9"/>
    <w:rsid w:val="00743463"/>
    <w:rsid w:val="007615EA"/>
    <w:rsid w:val="00763CAA"/>
    <w:rsid w:val="00765F66"/>
    <w:rsid w:val="0078664F"/>
    <w:rsid w:val="007C3FA6"/>
    <w:rsid w:val="007C52A8"/>
    <w:rsid w:val="007D4E18"/>
    <w:rsid w:val="007D585A"/>
    <w:rsid w:val="007D5A12"/>
    <w:rsid w:val="007E59F9"/>
    <w:rsid w:val="00810BCD"/>
    <w:rsid w:val="00812C98"/>
    <w:rsid w:val="00814938"/>
    <w:rsid w:val="00814D92"/>
    <w:rsid w:val="0083181D"/>
    <w:rsid w:val="00843EB2"/>
    <w:rsid w:val="00865572"/>
    <w:rsid w:val="00874BBC"/>
    <w:rsid w:val="008867A1"/>
    <w:rsid w:val="00892135"/>
    <w:rsid w:val="00895449"/>
    <w:rsid w:val="00897879"/>
    <w:rsid w:val="008A6870"/>
    <w:rsid w:val="008C2DDC"/>
    <w:rsid w:val="008C7516"/>
    <w:rsid w:val="008E3ADB"/>
    <w:rsid w:val="008E6EC7"/>
    <w:rsid w:val="008F0D63"/>
    <w:rsid w:val="008F1308"/>
    <w:rsid w:val="008F2C35"/>
    <w:rsid w:val="008F6309"/>
    <w:rsid w:val="008F6665"/>
    <w:rsid w:val="00904591"/>
    <w:rsid w:val="00905E5F"/>
    <w:rsid w:val="009070DC"/>
    <w:rsid w:val="0091204F"/>
    <w:rsid w:val="009203DB"/>
    <w:rsid w:val="00923CD4"/>
    <w:rsid w:val="00930EFE"/>
    <w:rsid w:val="00943386"/>
    <w:rsid w:val="009456B6"/>
    <w:rsid w:val="00957589"/>
    <w:rsid w:val="00966D06"/>
    <w:rsid w:val="00982412"/>
    <w:rsid w:val="00983A8D"/>
    <w:rsid w:val="009A0DB8"/>
    <w:rsid w:val="009A7257"/>
    <w:rsid w:val="009D4C59"/>
    <w:rsid w:val="009D6E0A"/>
    <w:rsid w:val="009E1E33"/>
    <w:rsid w:val="009E7E33"/>
    <w:rsid w:val="009F7F2F"/>
    <w:rsid w:val="00A01C30"/>
    <w:rsid w:val="00A05F43"/>
    <w:rsid w:val="00A11FE4"/>
    <w:rsid w:val="00A14672"/>
    <w:rsid w:val="00A26BD6"/>
    <w:rsid w:val="00A443CF"/>
    <w:rsid w:val="00A6611D"/>
    <w:rsid w:val="00A82CB7"/>
    <w:rsid w:val="00A942C1"/>
    <w:rsid w:val="00AA2F03"/>
    <w:rsid w:val="00AC2572"/>
    <w:rsid w:val="00AC36F7"/>
    <w:rsid w:val="00AC63A4"/>
    <w:rsid w:val="00AD239E"/>
    <w:rsid w:val="00AD4A0E"/>
    <w:rsid w:val="00B10265"/>
    <w:rsid w:val="00B16A99"/>
    <w:rsid w:val="00B21211"/>
    <w:rsid w:val="00B34BBB"/>
    <w:rsid w:val="00B35784"/>
    <w:rsid w:val="00B733A7"/>
    <w:rsid w:val="00B75C91"/>
    <w:rsid w:val="00B8698E"/>
    <w:rsid w:val="00B975AD"/>
    <w:rsid w:val="00BA0E17"/>
    <w:rsid w:val="00BC45FB"/>
    <w:rsid w:val="00BF148D"/>
    <w:rsid w:val="00C23B1A"/>
    <w:rsid w:val="00C310EB"/>
    <w:rsid w:val="00C72873"/>
    <w:rsid w:val="00C9176A"/>
    <w:rsid w:val="00CF1AA2"/>
    <w:rsid w:val="00D17774"/>
    <w:rsid w:val="00D63620"/>
    <w:rsid w:val="00D8410D"/>
    <w:rsid w:val="00D867D7"/>
    <w:rsid w:val="00DB7060"/>
    <w:rsid w:val="00DC0328"/>
    <w:rsid w:val="00DE3153"/>
    <w:rsid w:val="00E06736"/>
    <w:rsid w:val="00E13C27"/>
    <w:rsid w:val="00E33BBD"/>
    <w:rsid w:val="00E374F2"/>
    <w:rsid w:val="00E45103"/>
    <w:rsid w:val="00E55A60"/>
    <w:rsid w:val="00E62778"/>
    <w:rsid w:val="00E63D38"/>
    <w:rsid w:val="00E665B9"/>
    <w:rsid w:val="00EA01E6"/>
    <w:rsid w:val="00EA3DE8"/>
    <w:rsid w:val="00EA758F"/>
    <w:rsid w:val="00EB399B"/>
    <w:rsid w:val="00ED4A6F"/>
    <w:rsid w:val="00EF3A3A"/>
    <w:rsid w:val="00F02CDB"/>
    <w:rsid w:val="00F11472"/>
    <w:rsid w:val="00F20969"/>
    <w:rsid w:val="00F628D6"/>
    <w:rsid w:val="00F67051"/>
    <w:rsid w:val="00F86A1E"/>
    <w:rsid w:val="00F95903"/>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default">
    <w:name w:val="default"/>
    <w:basedOn w:val="a0"/>
    <w:rsid w:val="00F02CDB"/>
    <w:rPr>
      <w:rFonts w:ascii="Times New Roman" w:hAnsi="Times New Roman" w:cs="Times New Roman"/>
      <w:sz w:val="26"/>
      <w:szCs w:val="26"/>
    </w:rPr>
  </w:style>
  <w:style w:type="paragraph" w:customStyle="1" w:styleId="P00">
    <w:name w:val="P00"/>
    <w:rsid w:val="00F02C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paragraph" w:customStyle="1" w:styleId="page">
    <w:name w:val="page"/>
    <w:rsid w:val="00F02CDB"/>
    <w:pPr>
      <w:widowControl w:val="0"/>
      <w:autoSpaceDE w:val="0"/>
      <w:autoSpaceDN w:val="0"/>
      <w:bidi/>
    </w:pPr>
    <w:rPr>
      <w:rFonts w:eastAsia="Times New Roman"/>
      <w:noProof/>
      <w:position w:val="4"/>
      <w:szCs w:val="22"/>
      <w:lang w:eastAsia="he-IL"/>
    </w:rPr>
  </w:style>
  <w:style w:type="character" w:customStyle="1" w:styleId="big-number">
    <w:name w:val="big-number"/>
    <w:rsid w:val="00F02CDB"/>
    <w:rPr>
      <w:rFonts w:ascii="Times New Roman" w:hAnsi="Times New Roman" w:cs="Times New Roman"/>
      <w:sz w:val="32"/>
      <w:szCs w:val="32"/>
    </w:rPr>
  </w:style>
  <w:style w:type="paragraph" w:styleId="ad">
    <w:name w:val="List Paragraph"/>
    <w:basedOn w:val="a"/>
    <w:uiPriority w:val="34"/>
    <w:qFormat/>
    <w:rsid w:val="00F02CDB"/>
    <w:pPr>
      <w:widowControl/>
      <w:adjustRightInd/>
      <w:spacing w:before="0" w:line="360" w:lineRule="auto"/>
      <w:ind w:left="720" w:firstLine="0"/>
      <w:textAlignment w:val="auto"/>
    </w:pPr>
    <w:rPr>
      <w:rFonts w:ascii="Times New Roman" w:eastAsia="Times New Roman" w:hAnsi="Times New Roman" w:cs="Times New Roman"/>
      <w:color w:val="auto"/>
      <w:spacing w:val="0"/>
      <w:sz w:val="22"/>
      <w:szCs w:val="24"/>
      <w:lang w:eastAsia="he-IL"/>
    </w:rPr>
  </w:style>
  <w:style w:type="character" w:styleId="ae">
    <w:name w:val="annotation reference"/>
    <w:basedOn w:val="a0"/>
    <w:semiHidden/>
    <w:unhideWhenUsed/>
    <w:rsid w:val="00743463"/>
    <w:rPr>
      <w:sz w:val="16"/>
      <w:szCs w:val="16"/>
    </w:rPr>
  </w:style>
  <w:style w:type="paragraph" w:styleId="af">
    <w:name w:val="annotation text"/>
    <w:basedOn w:val="a"/>
    <w:link w:val="af0"/>
    <w:semiHidden/>
    <w:unhideWhenUsed/>
    <w:rsid w:val="00743463"/>
    <w:pPr>
      <w:spacing w:line="240" w:lineRule="auto"/>
    </w:pPr>
    <w:rPr>
      <w:sz w:val="20"/>
      <w:szCs w:val="20"/>
    </w:rPr>
  </w:style>
  <w:style w:type="character" w:customStyle="1" w:styleId="af0">
    <w:name w:val="טקסט הערה תו"/>
    <w:basedOn w:val="a0"/>
    <w:link w:val="af"/>
    <w:semiHidden/>
    <w:rsid w:val="00743463"/>
    <w:rPr>
      <w:rFonts w:ascii="Hadasa Roso SL" w:hAnsi="Hadasa Roso SL" w:cs="Hadasa Roso SL"/>
      <w:color w:val="000000"/>
      <w:spacing w:val="1"/>
      <w:lang w:eastAsia="ja-JP"/>
    </w:rPr>
  </w:style>
  <w:style w:type="paragraph" w:styleId="af1">
    <w:name w:val="annotation subject"/>
    <w:basedOn w:val="af"/>
    <w:next w:val="af"/>
    <w:link w:val="af2"/>
    <w:semiHidden/>
    <w:unhideWhenUsed/>
    <w:rsid w:val="00743463"/>
    <w:rPr>
      <w:b/>
      <w:bCs/>
    </w:rPr>
  </w:style>
  <w:style w:type="character" w:customStyle="1" w:styleId="af2">
    <w:name w:val="נושא הערה תו"/>
    <w:basedOn w:val="af0"/>
    <w:link w:val="af1"/>
    <w:semiHidden/>
    <w:rsid w:val="00743463"/>
    <w:rPr>
      <w:rFonts w:ascii="Hadasa Roso SL" w:hAnsi="Hadasa Roso SL" w:cs="Hadasa Roso SL"/>
      <w:b/>
      <w:bCs/>
      <w:color w:val="000000"/>
      <w:spacing w:val="1"/>
      <w:lang w:eastAsia="ja-JP"/>
    </w:rPr>
  </w:style>
  <w:style w:type="paragraph" w:customStyle="1" w:styleId="P33">
    <w:name w:val="P33"/>
    <w:basedOn w:val="P00"/>
    <w:rsid w:val="00F20969"/>
    <w:pPr>
      <w:tabs>
        <w:tab w:val="clear" w:pos="624"/>
        <w:tab w:val="clear" w:pos="1021"/>
        <w:tab w:val="clear" w:pos="1474"/>
      </w:tabs>
      <w:ind w:right="14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51420">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A616-A3AF-4F1F-B707-6917D4E4C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2EF3BA8E-3E16-4181-9522-C14941C1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Pages>
  <Words>707</Words>
  <Characters>3540</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18</cp:revision>
  <cp:lastPrinted>2018-01-11T11:03:00Z</cp:lastPrinted>
  <dcterms:created xsi:type="dcterms:W3CDTF">2015-04-20T09:58:00Z</dcterms:created>
  <dcterms:modified xsi:type="dcterms:W3CDTF">2018-01-11T11:14:00Z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2023758</vt:r8>
  </property>
</Properties>
</file>