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A4BC" w14:textId="77777777" w:rsidR="002120C8" w:rsidRPr="0000131B" w:rsidRDefault="002120C8" w:rsidP="002120C8">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2020494</w:t>
      </w:r>
      <w:bookmarkEnd w:id="0"/>
    </w:p>
    <w:p w14:paraId="07B2A335" w14:textId="77777777" w:rsidR="002120C8" w:rsidRPr="00DB7060" w:rsidRDefault="002120C8" w:rsidP="002120C8">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6B2BD2BC" w14:textId="77777777" w:rsidR="002120C8" w:rsidRPr="00F67051" w:rsidRDefault="002120C8" w:rsidP="002120C8">
      <w:pPr>
        <w:rPr>
          <w:rFonts w:cs="David"/>
          <w:b/>
          <w:bCs/>
          <w:sz w:val="26"/>
          <w:szCs w:val="26"/>
          <w:rtl/>
        </w:rPr>
      </w:pPr>
    </w:p>
    <w:p w14:paraId="0B407621" w14:textId="77777777" w:rsidR="002120C8" w:rsidRDefault="002120C8" w:rsidP="002120C8">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Pr="00F67051">
        <w:rPr>
          <w:b/>
          <w:bCs/>
        </w:rPr>
        <w:tab/>
      </w:r>
      <w:bookmarkStart w:id="3" w:name="LGS_PM_Names"/>
      <w:r>
        <w:rPr>
          <w:rFonts w:hint="cs"/>
          <w:b/>
          <w:bCs/>
          <w:rtl/>
        </w:rPr>
        <w:t>אורן אסף חזן</w:t>
      </w:r>
      <w:bookmarkEnd w:id="3"/>
    </w:p>
    <w:p w14:paraId="43007EF8" w14:textId="77777777" w:rsidR="002120C8" w:rsidRPr="00CF1AA2" w:rsidRDefault="002120C8" w:rsidP="002120C8">
      <w:pPr>
        <w:pStyle w:val="David"/>
        <w:spacing w:before="0" w:line="360" w:lineRule="auto"/>
        <w:ind w:left="3544"/>
        <w:rPr>
          <w:b/>
          <w:bCs/>
          <w:sz w:val="16"/>
          <w:szCs w:val="16"/>
          <w:rtl/>
        </w:rPr>
      </w:pPr>
      <w:bookmarkStart w:id="4" w:name="LGS_Join_List"/>
      <w:r>
        <w:rPr>
          <w:rtl/>
        </w:rPr>
        <w:t xml:space="preserve"> </w:t>
      </w:r>
      <w:bookmarkEnd w:id="4"/>
      <w:r w:rsidRPr="00CF1AA2">
        <w:rPr>
          <w:rFonts w:hint="cs"/>
          <w:rtl/>
        </w:rPr>
        <w:tab/>
      </w:r>
      <w:bookmarkStart w:id="5" w:name="LGS_PM_NamesJoin"/>
      <w:r>
        <w:rPr>
          <w:rFonts w:hint="cs"/>
          <w:rtl/>
        </w:rPr>
        <w:t xml:space="preserve"> </w:t>
      </w:r>
      <w:bookmarkEnd w:id="5"/>
    </w:p>
    <w:p w14:paraId="0513C5AA" w14:textId="77777777" w:rsidR="002120C8" w:rsidRPr="00904591" w:rsidRDefault="002120C8" w:rsidP="002120C8">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6292CEDE" w14:textId="77777777" w:rsidR="002120C8" w:rsidRPr="00E06736" w:rsidRDefault="002120C8" w:rsidP="002120C8">
      <w:pPr>
        <w:pStyle w:val="David"/>
        <w:spacing w:before="0" w:line="240" w:lineRule="auto"/>
        <w:ind w:left="3544"/>
        <w:rPr>
          <w:rtl/>
        </w:rPr>
      </w:pPr>
      <w:r>
        <w:t xml:space="preserve">                                             </w:t>
      </w:r>
      <w:bookmarkStart w:id="6" w:name="Private_Number"/>
      <w:r>
        <w:rPr>
          <w:rFonts w:hint="cs"/>
          <w:rtl/>
        </w:rPr>
        <w:t>פ/4622/20</w:t>
      </w:r>
      <w:bookmarkEnd w:id="6"/>
    </w:p>
    <w:p w14:paraId="3516F8C2" w14:textId="77777777" w:rsidR="002120C8" w:rsidRDefault="002120C8" w:rsidP="002120C8">
      <w:pPr>
        <w:spacing w:before="0" w:line="360" w:lineRule="auto"/>
        <w:ind w:left="2880" w:firstLine="720"/>
        <w:rPr>
          <w:rFonts w:cs="David"/>
          <w:sz w:val="26"/>
          <w:szCs w:val="26"/>
          <w:rtl/>
        </w:rPr>
      </w:pPr>
    </w:p>
    <w:p w14:paraId="4D5209B6" w14:textId="19F68F1A" w:rsidR="002120C8" w:rsidRPr="00F67051" w:rsidRDefault="002120C8" w:rsidP="000F6007">
      <w:pPr>
        <w:pStyle w:val="HeadHatzaotHok"/>
        <w:rPr>
          <w:rtl/>
        </w:rPr>
      </w:pPr>
      <w:bookmarkStart w:id="7" w:name="LGS_Subject"/>
      <w:r>
        <w:rPr>
          <w:rFonts w:hint="cs"/>
          <w:rtl/>
        </w:rPr>
        <w:t>הצעת חוק העונשין (תיקון – גזר דין עונש מוות למורשע ברצח בנסיבות טרור), התשע"ח</w:t>
      </w:r>
      <w:r w:rsidR="000F6007">
        <w:rPr>
          <w:rFonts w:hint="eastAsia"/>
          <w:rtl/>
        </w:rPr>
        <w:t>–</w:t>
      </w:r>
      <w:r>
        <w:rPr>
          <w:rFonts w:hint="cs"/>
          <w:rtl/>
        </w:rPr>
        <w:t>2017</w:t>
      </w:r>
      <w:bookmarkEnd w:id="7"/>
    </w:p>
    <w:p w14:paraId="5F4B5FC9" w14:textId="77777777" w:rsidR="002120C8" w:rsidRDefault="002120C8" w:rsidP="002120C8">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2120C8" w14:paraId="0A464143" w14:textId="77777777" w:rsidTr="0031560F">
        <w:trPr>
          <w:cantSplit/>
          <w:trHeight w:val="60"/>
        </w:trPr>
        <w:tc>
          <w:tcPr>
            <w:tcW w:w="1871" w:type="dxa"/>
          </w:tcPr>
          <w:p w14:paraId="69A68599" w14:textId="77777777" w:rsidR="002120C8" w:rsidRPr="003F729D" w:rsidRDefault="002120C8" w:rsidP="0031560F">
            <w:pPr>
              <w:pStyle w:val="TableSideHeading"/>
              <w:keepLines w:val="0"/>
            </w:pPr>
            <w:r w:rsidRPr="00126702">
              <w:rPr>
                <w:rFonts w:hint="cs"/>
                <w:rtl/>
              </w:rPr>
              <w:t>תיקון סעיף 300</w:t>
            </w:r>
          </w:p>
        </w:tc>
        <w:tc>
          <w:tcPr>
            <w:tcW w:w="624" w:type="dxa"/>
          </w:tcPr>
          <w:p w14:paraId="346027C8" w14:textId="77777777" w:rsidR="002120C8" w:rsidRDefault="002120C8" w:rsidP="0031560F">
            <w:pPr>
              <w:pStyle w:val="TableText"/>
              <w:keepLines w:val="0"/>
            </w:pPr>
            <w:r w:rsidRPr="00126702">
              <w:rPr>
                <w:rFonts w:hint="cs"/>
                <w:rtl/>
              </w:rPr>
              <w:t>1.</w:t>
            </w:r>
          </w:p>
        </w:tc>
        <w:tc>
          <w:tcPr>
            <w:tcW w:w="7146" w:type="dxa"/>
            <w:gridSpan w:val="2"/>
          </w:tcPr>
          <w:p w14:paraId="67E2FE64" w14:textId="0F11758D" w:rsidR="002120C8" w:rsidRPr="0048182F" w:rsidRDefault="002120C8" w:rsidP="000F6007">
            <w:pPr>
              <w:pStyle w:val="TableBlock"/>
            </w:pPr>
            <w:r w:rsidRPr="00603DBE">
              <w:rPr>
                <w:rFonts w:hint="eastAsia"/>
                <w:rtl/>
              </w:rPr>
              <w:t>בחוק</w:t>
            </w:r>
            <w:r w:rsidRPr="00603DBE">
              <w:rPr>
                <w:rtl/>
              </w:rPr>
              <w:t xml:space="preserve"> </w:t>
            </w:r>
            <w:r w:rsidRPr="00603DBE">
              <w:rPr>
                <w:rFonts w:hint="eastAsia"/>
                <w:rtl/>
              </w:rPr>
              <w:t>העונשין</w:t>
            </w:r>
            <w:r w:rsidRPr="00603DBE">
              <w:rPr>
                <w:rtl/>
              </w:rPr>
              <w:t xml:space="preserve">, </w:t>
            </w:r>
            <w:r w:rsidRPr="00603DBE">
              <w:rPr>
                <w:rFonts w:hint="eastAsia"/>
                <w:rtl/>
              </w:rPr>
              <w:t>התשל</w:t>
            </w:r>
            <w:r w:rsidRPr="00603DBE">
              <w:rPr>
                <w:rtl/>
              </w:rPr>
              <w:t>"ז–1977</w:t>
            </w:r>
            <w:r w:rsidRPr="00866CE1">
              <w:rPr>
                <w:szCs w:val="20"/>
                <w:rtl/>
              </w:rPr>
              <w:footnoteReference w:id="2"/>
            </w:r>
            <w:r w:rsidRPr="00603DBE">
              <w:rPr>
                <w:rtl/>
              </w:rPr>
              <w:t xml:space="preserve">, </w:t>
            </w:r>
            <w:r w:rsidR="000F6007">
              <w:rPr>
                <w:rFonts w:hint="cs"/>
                <w:rtl/>
              </w:rPr>
              <w:t>ב</w:t>
            </w:r>
            <w:r>
              <w:rPr>
                <w:rFonts w:hint="cs"/>
                <w:rtl/>
              </w:rPr>
              <w:t>סעיף 300</w:t>
            </w:r>
            <w:r w:rsidR="00EB465D">
              <w:rPr>
                <w:rFonts w:hint="cs"/>
                <w:rtl/>
              </w:rPr>
              <w:t xml:space="preserve"> </w:t>
            </w:r>
            <w:r w:rsidR="000F6007">
              <w:rPr>
                <w:rFonts w:hint="cs"/>
                <w:rtl/>
              </w:rPr>
              <w:t xml:space="preserve">אחרי סעיף קטן </w:t>
            </w:r>
            <w:r>
              <w:rPr>
                <w:rFonts w:hint="cs"/>
                <w:rtl/>
              </w:rPr>
              <w:t>(ב)</w:t>
            </w:r>
            <w:r w:rsidRPr="00603DBE">
              <w:rPr>
                <w:rtl/>
              </w:rPr>
              <w:t xml:space="preserve"> </w:t>
            </w:r>
            <w:r w:rsidRPr="00603DBE">
              <w:rPr>
                <w:rFonts w:hint="eastAsia"/>
                <w:rtl/>
              </w:rPr>
              <w:t>יבוא</w:t>
            </w:r>
            <w:r w:rsidRPr="00603DBE">
              <w:rPr>
                <w:rtl/>
              </w:rPr>
              <w:t>:</w:t>
            </w:r>
          </w:p>
        </w:tc>
      </w:tr>
      <w:tr w:rsidR="002120C8" w14:paraId="2CC70A75" w14:textId="77777777" w:rsidTr="0031560F">
        <w:trPr>
          <w:cantSplit/>
          <w:trHeight w:val="60"/>
        </w:trPr>
        <w:tc>
          <w:tcPr>
            <w:tcW w:w="1871" w:type="dxa"/>
          </w:tcPr>
          <w:p w14:paraId="44424F47" w14:textId="77777777" w:rsidR="002120C8" w:rsidRDefault="002120C8" w:rsidP="0031560F">
            <w:pPr>
              <w:pStyle w:val="TableSideHeading"/>
              <w:keepLines w:val="0"/>
            </w:pPr>
          </w:p>
        </w:tc>
        <w:tc>
          <w:tcPr>
            <w:tcW w:w="624" w:type="dxa"/>
          </w:tcPr>
          <w:p w14:paraId="3EE82984" w14:textId="77777777" w:rsidR="002120C8" w:rsidRDefault="002120C8" w:rsidP="0031560F">
            <w:pPr>
              <w:pStyle w:val="TableText"/>
              <w:keepLines w:val="0"/>
            </w:pPr>
          </w:p>
        </w:tc>
        <w:tc>
          <w:tcPr>
            <w:tcW w:w="7146" w:type="dxa"/>
            <w:gridSpan w:val="2"/>
          </w:tcPr>
          <w:p w14:paraId="6B8D74CF" w14:textId="0F23428B" w:rsidR="002120C8" w:rsidRPr="00C34DE2" w:rsidRDefault="002120C8" w:rsidP="00BD7BCF">
            <w:pPr>
              <w:pStyle w:val="TableBlock"/>
              <w:keepLines w:val="0"/>
            </w:pPr>
            <w:r>
              <w:rPr>
                <w:rFonts w:hint="cs"/>
                <w:rtl/>
              </w:rPr>
              <w:t>"(ג)</w:t>
            </w:r>
            <w:r>
              <w:rPr>
                <w:rtl/>
              </w:rPr>
              <w:tab/>
            </w:r>
            <w:r w:rsidRPr="00126702">
              <w:rPr>
                <w:rFonts w:hint="cs"/>
                <w:rtl/>
              </w:rPr>
              <w:t>מי שהורשע ברצח לפי סעיף קטן (א) בנסיבות של</w:t>
            </w:r>
            <w:r w:rsidR="00BD7BCF">
              <w:rPr>
                <w:rFonts w:hint="cs"/>
                <w:rtl/>
              </w:rPr>
              <w:t xml:space="preserve"> מעשה</w:t>
            </w:r>
            <w:r w:rsidRPr="00126702">
              <w:rPr>
                <w:rFonts w:hint="cs"/>
                <w:rtl/>
              </w:rPr>
              <w:t xml:space="preserve"> טרור, דינו </w:t>
            </w:r>
            <w:r w:rsidRPr="00126702">
              <w:rPr>
                <w:rtl/>
              </w:rPr>
              <w:t>–</w:t>
            </w:r>
            <w:r w:rsidRPr="00126702">
              <w:rPr>
                <w:rFonts w:hint="cs"/>
                <w:rtl/>
              </w:rPr>
              <w:t xml:space="preserve"> מיתה; לעניין סעיף קטן זה, </w:t>
            </w:r>
            <w:r w:rsidRPr="00B468FB">
              <w:rPr>
                <w:rFonts w:hint="cs"/>
                <w:rtl/>
              </w:rPr>
              <w:t>"</w:t>
            </w:r>
            <w:r>
              <w:rPr>
                <w:rFonts w:hint="cs"/>
                <w:rtl/>
              </w:rPr>
              <w:t>מעשה טרור</w:t>
            </w:r>
            <w:r w:rsidRPr="00B468FB">
              <w:rPr>
                <w:rFonts w:hint="cs"/>
                <w:rtl/>
              </w:rPr>
              <w:t xml:space="preserve">" – </w:t>
            </w:r>
            <w:r>
              <w:rPr>
                <w:rFonts w:hint="cs"/>
                <w:rtl/>
              </w:rPr>
              <w:t>כהגדרתו בחוק המאבק בטרור, התשע"ו</w:t>
            </w:r>
            <w:r w:rsidR="00F77598">
              <w:rPr>
                <w:rFonts w:hint="eastAsia"/>
                <w:rtl/>
              </w:rPr>
              <w:t>–</w:t>
            </w:r>
            <w:r>
              <w:rPr>
                <w:rFonts w:hint="cs"/>
                <w:rtl/>
              </w:rPr>
              <w:t>2016</w:t>
            </w:r>
            <w:r>
              <w:rPr>
                <w:rStyle w:val="a6"/>
                <w:rtl/>
              </w:rPr>
              <w:footnoteReference w:id="3"/>
            </w:r>
            <w:r w:rsidRPr="00603DBE">
              <w:rPr>
                <w:rtl/>
              </w:rPr>
              <w:t>."</w:t>
            </w:r>
          </w:p>
        </w:tc>
      </w:tr>
      <w:tr w:rsidR="002120C8" w:rsidRPr="00C34DE2" w14:paraId="2E18798A" w14:textId="77777777" w:rsidTr="0031560F">
        <w:trPr>
          <w:cantSplit/>
          <w:trHeight w:val="60"/>
        </w:trPr>
        <w:tc>
          <w:tcPr>
            <w:tcW w:w="1871" w:type="dxa"/>
          </w:tcPr>
          <w:p w14:paraId="6AE8FBA6" w14:textId="77777777" w:rsidR="002120C8" w:rsidRDefault="002120C8" w:rsidP="0031560F">
            <w:pPr>
              <w:pStyle w:val="TableSideHeading"/>
            </w:pPr>
            <w:r>
              <w:rPr>
                <w:rFonts w:hint="cs"/>
                <w:rtl/>
              </w:rPr>
              <w:t>הוראות  לגבי האזור</w:t>
            </w:r>
          </w:p>
        </w:tc>
        <w:tc>
          <w:tcPr>
            <w:tcW w:w="624" w:type="dxa"/>
          </w:tcPr>
          <w:p w14:paraId="070B04A5" w14:textId="77777777" w:rsidR="002120C8" w:rsidRDefault="002120C8" w:rsidP="0031560F">
            <w:pPr>
              <w:pStyle w:val="TableText"/>
            </w:pPr>
            <w:r>
              <w:rPr>
                <w:rFonts w:hint="cs"/>
                <w:rtl/>
              </w:rPr>
              <w:t>2.</w:t>
            </w:r>
          </w:p>
        </w:tc>
        <w:tc>
          <w:tcPr>
            <w:tcW w:w="7145" w:type="dxa"/>
            <w:gridSpan w:val="2"/>
          </w:tcPr>
          <w:p w14:paraId="4CBDF2CD" w14:textId="7D3A00F9" w:rsidR="002120C8" w:rsidRPr="00C34DE2" w:rsidRDefault="002120C8" w:rsidP="0031560F">
            <w:pPr>
              <w:pStyle w:val="TableBlock"/>
            </w:pPr>
            <w:r>
              <w:rPr>
                <w:rFonts w:hint="cs"/>
                <w:rtl/>
              </w:rPr>
              <w:t>(א)</w:t>
            </w:r>
            <w:r>
              <w:rPr>
                <w:rtl/>
              </w:rPr>
              <w:tab/>
            </w:r>
            <w:r>
              <w:rPr>
                <w:rFonts w:hint="cs"/>
                <w:rtl/>
              </w:rPr>
              <w:t>בסעיף זה, "אזור" – כהגדרתו בחוק לתיקון ולהארכת תוקפן של תקנות שעת חירום (יהודה והשומרון – שיפוט בעבירות ועזרה משפטית), התשס"ז–2007</w:t>
            </w:r>
            <w:r>
              <w:rPr>
                <w:rStyle w:val="a6"/>
                <w:rtl/>
              </w:rPr>
              <w:footnoteReference w:id="4"/>
            </w:r>
            <w:r>
              <w:rPr>
                <w:rFonts w:hint="cs"/>
                <w:rtl/>
              </w:rPr>
              <w:t>.</w:t>
            </w:r>
          </w:p>
        </w:tc>
      </w:tr>
      <w:tr w:rsidR="002120C8" w14:paraId="5916DB6E" w14:textId="77777777" w:rsidTr="0031560F">
        <w:trPr>
          <w:cantSplit/>
          <w:trHeight w:val="60"/>
        </w:trPr>
        <w:tc>
          <w:tcPr>
            <w:tcW w:w="1871" w:type="dxa"/>
          </w:tcPr>
          <w:p w14:paraId="7BFB7F84" w14:textId="77777777" w:rsidR="002120C8" w:rsidRDefault="002120C8" w:rsidP="0031560F">
            <w:pPr>
              <w:pStyle w:val="TableSideHeading"/>
              <w:rPr>
                <w:rtl/>
              </w:rPr>
            </w:pPr>
          </w:p>
        </w:tc>
        <w:tc>
          <w:tcPr>
            <w:tcW w:w="624" w:type="dxa"/>
          </w:tcPr>
          <w:p w14:paraId="7A57E9BB" w14:textId="77777777" w:rsidR="002120C8" w:rsidRDefault="002120C8" w:rsidP="0031560F">
            <w:pPr>
              <w:pStyle w:val="TableText"/>
              <w:rPr>
                <w:rtl/>
              </w:rPr>
            </w:pPr>
          </w:p>
        </w:tc>
        <w:tc>
          <w:tcPr>
            <w:tcW w:w="7145" w:type="dxa"/>
            <w:gridSpan w:val="2"/>
          </w:tcPr>
          <w:p w14:paraId="19AE91AA" w14:textId="5FDE2657" w:rsidR="002120C8" w:rsidRDefault="002120C8" w:rsidP="0031560F">
            <w:pPr>
              <w:pStyle w:val="TableBlock"/>
              <w:rPr>
                <w:rtl/>
              </w:rPr>
            </w:pPr>
            <w:r>
              <w:rPr>
                <w:rFonts w:hint="cs"/>
                <w:rtl/>
              </w:rPr>
              <w:t>(ב)</w:t>
            </w:r>
            <w:r>
              <w:rPr>
                <w:rtl/>
              </w:rPr>
              <w:tab/>
            </w:r>
            <w:r w:rsidRPr="00392CC4">
              <w:rPr>
                <w:rFonts w:hint="cs"/>
                <w:rtl/>
              </w:rPr>
              <w:t xml:space="preserve">שר הביטחון יורה למפקד כוחות צבא </w:t>
            </w:r>
            <w:r>
              <w:rPr>
                <w:rFonts w:hint="cs"/>
                <w:rtl/>
              </w:rPr>
              <w:t>ה</w:t>
            </w:r>
            <w:r w:rsidRPr="00392CC4">
              <w:rPr>
                <w:rFonts w:hint="cs"/>
                <w:rtl/>
              </w:rPr>
              <w:t xml:space="preserve">הגנה לישראל באזור </w:t>
            </w:r>
            <w:r w:rsidRPr="00392CC4">
              <w:rPr>
                <w:rtl/>
              </w:rPr>
              <w:t xml:space="preserve">להורות </w:t>
            </w:r>
            <w:bookmarkStart w:id="8" w:name="_GoBack"/>
            <w:bookmarkEnd w:id="8"/>
            <w:r w:rsidRPr="00392CC4">
              <w:rPr>
                <w:rtl/>
              </w:rPr>
              <w:t>בצו</w:t>
            </w:r>
            <w:r w:rsidR="00F77598">
              <w:rPr>
                <w:rFonts w:hint="cs"/>
                <w:rtl/>
              </w:rPr>
              <w:t xml:space="preserve"> </w:t>
            </w:r>
            <w:r>
              <w:rPr>
                <w:rFonts w:hint="cs"/>
                <w:rtl/>
              </w:rPr>
              <w:t>–</w:t>
            </w:r>
          </w:p>
        </w:tc>
      </w:tr>
      <w:tr w:rsidR="002120C8" w14:paraId="36F43D0E" w14:textId="77777777" w:rsidTr="0031560F">
        <w:trPr>
          <w:cantSplit/>
          <w:trHeight w:val="60"/>
        </w:trPr>
        <w:tc>
          <w:tcPr>
            <w:tcW w:w="1871" w:type="dxa"/>
          </w:tcPr>
          <w:p w14:paraId="5CECFF66" w14:textId="77777777" w:rsidR="002120C8" w:rsidRDefault="002120C8" w:rsidP="0031560F">
            <w:pPr>
              <w:pStyle w:val="TableSideHeading"/>
            </w:pPr>
          </w:p>
        </w:tc>
        <w:tc>
          <w:tcPr>
            <w:tcW w:w="624" w:type="dxa"/>
          </w:tcPr>
          <w:p w14:paraId="0B0ED03D" w14:textId="77777777" w:rsidR="002120C8" w:rsidRDefault="002120C8" w:rsidP="0031560F">
            <w:pPr>
              <w:pStyle w:val="TableText"/>
            </w:pPr>
          </w:p>
        </w:tc>
        <w:tc>
          <w:tcPr>
            <w:tcW w:w="624" w:type="dxa"/>
          </w:tcPr>
          <w:p w14:paraId="52576204" w14:textId="77777777" w:rsidR="002120C8" w:rsidRPr="00BD0ACA" w:rsidRDefault="002120C8" w:rsidP="0031560F">
            <w:pPr>
              <w:pStyle w:val="TableText"/>
            </w:pPr>
          </w:p>
        </w:tc>
        <w:tc>
          <w:tcPr>
            <w:tcW w:w="6521" w:type="dxa"/>
          </w:tcPr>
          <w:p w14:paraId="7D581395" w14:textId="77777777" w:rsidR="002120C8" w:rsidRDefault="002120C8" w:rsidP="0031560F">
            <w:pPr>
              <w:pStyle w:val="TableBlock"/>
            </w:pPr>
            <w:r w:rsidRPr="00126702">
              <w:rPr>
                <w:rFonts w:hint="cs"/>
                <w:rtl/>
              </w:rPr>
              <w:t>(</w:t>
            </w:r>
            <w:r>
              <w:rPr>
                <w:rFonts w:hint="cs"/>
                <w:rtl/>
              </w:rPr>
              <w:t>1</w:t>
            </w:r>
            <w:r w:rsidRPr="00126702">
              <w:rPr>
                <w:rFonts w:hint="cs"/>
                <w:rtl/>
              </w:rPr>
              <w:t>)</w:t>
            </w:r>
            <w:r w:rsidRPr="00126702">
              <w:rPr>
                <w:rFonts w:hint="cs"/>
                <w:rtl/>
              </w:rPr>
              <w:tab/>
            </w:r>
            <w:r w:rsidRPr="00126702">
              <w:rPr>
                <w:rtl/>
              </w:rPr>
              <w:t>כי סמכותו של מותב של בית משפט צבאי באזור לגזור על נאשם עונש מוות לא תותנה בכך שגזר הדין ניתן פה אחד, וניתן יהיה לגזור עונש כאמור ברוב רגיל של שופטי המותב</w:t>
            </w:r>
            <w:r w:rsidRPr="00126702">
              <w:rPr>
                <w:rFonts w:hint="cs"/>
                <w:rtl/>
              </w:rPr>
              <w:t>;</w:t>
            </w:r>
          </w:p>
        </w:tc>
      </w:tr>
      <w:tr w:rsidR="002120C8" w14:paraId="10410049" w14:textId="77777777" w:rsidTr="0031560F">
        <w:trPr>
          <w:cantSplit/>
        </w:trPr>
        <w:tc>
          <w:tcPr>
            <w:tcW w:w="1871" w:type="dxa"/>
          </w:tcPr>
          <w:p w14:paraId="52D71ABA" w14:textId="77777777" w:rsidR="002120C8" w:rsidRPr="00126702" w:rsidRDefault="002120C8" w:rsidP="0031560F">
            <w:pPr>
              <w:pStyle w:val="TableSideHeading"/>
            </w:pPr>
          </w:p>
        </w:tc>
        <w:tc>
          <w:tcPr>
            <w:tcW w:w="624" w:type="dxa"/>
          </w:tcPr>
          <w:p w14:paraId="212926D7" w14:textId="77777777" w:rsidR="002120C8" w:rsidRPr="00126702" w:rsidRDefault="002120C8" w:rsidP="0031560F">
            <w:pPr>
              <w:pStyle w:val="TableText"/>
            </w:pPr>
          </w:p>
        </w:tc>
        <w:tc>
          <w:tcPr>
            <w:tcW w:w="624" w:type="dxa"/>
          </w:tcPr>
          <w:p w14:paraId="42C3D4B5" w14:textId="77777777" w:rsidR="002120C8" w:rsidRDefault="002120C8" w:rsidP="0031560F">
            <w:pPr>
              <w:pStyle w:val="TableText"/>
              <w:rPr>
                <w:rtl/>
              </w:rPr>
            </w:pPr>
          </w:p>
        </w:tc>
        <w:tc>
          <w:tcPr>
            <w:tcW w:w="6521" w:type="dxa"/>
          </w:tcPr>
          <w:p w14:paraId="6DC3EBFB" w14:textId="77777777" w:rsidR="002120C8" w:rsidRDefault="002120C8" w:rsidP="0031560F">
            <w:pPr>
              <w:pStyle w:val="TableBlock"/>
              <w:rPr>
                <w:rtl/>
              </w:rPr>
            </w:pPr>
            <w:r w:rsidRPr="00126702">
              <w:rPr>
                <w:rFonts w:hint="cs"/>
                <w:rtl/>
              </w:rPr>
              <w:t>(</w:t>
            </w:r>
            <w:r>
              <w:rPr>
                <w:rFonts w:hint="cs"/>
                <w:rtl/>
              </w:rPr>
              <w:t>2</w:t>
            </w:r>
            <w:r w:rsidRPr="00126702">
              <w:rPr>
                <w:rFonts w:hint="cs"/>
                <w:rtl/>
              </w:rPr>
              <w:t>)</w:t>
            </w:r>
            <w:r w:rsidRPr="00126702">
              <w:rPr>
                <w:rFonts w:hint="cs"/>
                <w:rtl/>
              </w:rPr>
              <w:tab/>
            </w:r>
            <w:r w:rsidRPr="00126702">
              <w:rPr>
                <w:rtl/>
              </w:rPr>
              <w:t xml:space="preserve">כי לא ניתן יהיה להקל בעונשו של מי שנגזר עליו עונש מוות </w:t>
            </w:r>
            <w:r>
              <w:rPr>
                <w:rFonts w:hint="cs"/>
                <w:rtl/>
              </w:rPr>
              <w:t xml:space="preserve">בגזר דין סופי </w:t>
            </w:r>
            <w:r w:rsidRPr="00126702">
              <w:rPr>
                <w:rtl/>
              </w:rPr>
              <w:t>בבית משפט צבאי באזור.</w:t>
            </w:r>
            <w:r w:rsidRPr="00392CC4" w:rsidDel="006B6320">
              <w:rPr>
                <w:rFonts w:hint="cs"/>
                <w:rtl/>
              </w:rPr>
              <w:t xml:space="preserve"> </w:t>
            </w:r>
          </w:p>
        </w:tc>
      </w:tr>
    </w:tbl>
    <w:p w14:paraId="365D2FCA" w14:textId="77777777" w:rsidR="002120C8" w:rsidRDefault="002120C8" w:rsidP="002120C8">
      <w:pPr>
        <w:pStyle w:val="HeadDivreiHesber"/>
        <w:rPr>
          <w:rtl/>
        </w:rPr>
      </w:pPr>
      <w:r w:rsidRPr="0027450A">
        <w:rPr>
          <w:rFonts w:hint="cs"/>
          <w:rtl/>
        </w:rPr>
        <w:t>דברי הסבר</w:t>
      </w:r>
    </w:p>
    <w:p w14:paraId="2FFF35F8" w14:textId="14F89F45" w:rsidR="002120C8" w:rsidRDefault="002120C8" w:rsidP="00BD7BCF">
      <w:pPr>
        <w:pStyle w:val="Hesber"/>
        <w:rPr>
          <w:rtl/>
        </w:rPr>
      </w:pPr>
      <w:r>
        <w:rPr>
          <w:rFonts w:hint="cs"/>
          <w:rtl/>
        </w:rPr>
        <w:t xml:space="preserve">כיום, </w:t>
      </w:r>
      <w:r>
        <w:rPr>
          <w:rtl/>
        </w:rPr>
        <w:t xml:space="preserve">המאבק בטרור הוא האתגר הגדול ביותר </w:t>
      </w:r>
      <w:r>
        <w:rPr>
          <w:rFonts w:hint="cs"/>
          <w:b/>
          <w:color w:val="auto"/>
          <w:sz w:val="26"/>
          <w:rtl/>
        </w:rPr>
        <w:t>עמו מתמודדות</w:t>
      </w:r>
      <w:r>
        <w:rPr>
          <w:rtl/>
        </w:rPr>
        <w:t xml:space="preserve"> </w:t>
      </w:r>
      <w:r>
        <w:rPr>
          <w:rFonts w:hint="cs"/>
          <w:rtl/>
        </w:rPr>
        <w:t xml:space="preserve">מדינות </w:t>
      </w:r>
      <w:r>
        <w:rPr>
          <w:rtl/>
        </w:rPr>
        <w:t xml:space="preserve">העולם, ובפרט </w:t>
      </w:r>
      <w:r>
        <w:rPr>
          <w:rFonts w:hint="cs"/>
          <w:rtl/>
        </w:rPr>
        <w:t xml:space="preserve">מדינת </w:t>
      </w:r>
      <w:r>
        <w:rPr>
          <w:rtl/>
        </w:rPr>
        <w:t>ישראל</w:t>
      </w:r>
      <w:r>
        <w:rPr>
          <w:rFonts w:hint="cs"/>
          <w:rtl/>
        </w:rPr>
        <w:t>.</w:t>
      </w:r>
      <w:r>
        <w:rPr>
          <w:rtl/>
        </w:rPr>
        <w:t xml:space="preserve"> </w:t>
      </w:r>
      <w:r>
        <w:rPr>
          <w:rFonts w:hint="cs"/>
          <w:rtl/>
        </w:rPr>
        <w:t>עם</w:t>
      </w:r>
      <w:r>
        <w:rPr>
          <w:rtl/>
        </w:rPr>
        <w:t xml:space="preserve"> זאת</w:t>
      </w:r>
      <w:r>
        <w:rPr>
          <w:rFonts w:hint="cs"/>
          <w:rtl/>
        </w:rPr>
        <w:t>,</w:t>
      </w:r>
      <w:r>
        <w:rPr>
          <w:rtl/>
        </w:rPr>
        <w:t xml:space="preserve"> קיים פער עצום בין האופ</w:t>
      </w:r>
      <w:r w:rsidR="000F6007">
        <w:rPr>
          <w:rtl/>
        </w:rPr>
        <w:t xml:space="preserve">ן שבו פועלת ישראל בתחום הענישה </w:t>
      </w:r>
      <w:r w:rsidR="000F6007">
        <w:rPr>
          <w:rFonts w:hint="cs"/>
          <w:rtl/>
        </w:rPr>
        <w:t>ו</w:t>
      </w:r>
      <w:r>
        <w:rPr>
          <w:rtl/>
        </w:rPr>
        <w:t xml:space="preserve">בין המציאות עמה היא מתמודדת. </w:t>
      </w:r>
      <w:r w:rsidR="00BD7BCF">
        <w:rPr>
          <w:rFonts w:hint="cs"/>
          <w:rtl/>
        </w:rPr>
        <w:t xml:space="preserve">מהלך </w:t>
      </w:r>
      <w:r>
        <w:rPr>
          <w:rtl/>
        </w:rPr>
        <w:t>שחרור מחבלים לאחר תקופת מאסר שלא הושלמה</w:t>
      </w:r>
      <w:r w:rsidR="00BD7BCF">
        <w:rPr>
          <w:rFonts w:hint="cs"/>
          <w:rtl/>
        </w:rPr>
        <w:t xml:space="preserve"> </w:t>
      </w:r>
      <w:r>
        <w:rPr>
          <w:rFonts w:hint="cs"/>
          <w:rtl/>
        </w:rPr>
        <w:t xml:space="preserve">שולח מסר שאינו </w:t>
      </w:r>
      <w:r>
        <w:rPr>
          <w:rtl/>
        </w:rPr>
        <w:t>תורם למאבק בטרור ולכושר ההרתעה של ישראל.</w:t>
      </w:r>
    </w:p>
    <w:p w14:paraId="6CC63FE9" w14:textId="0354E204" w:rsidR="002120C8" w:rsidRDefault="002120C8" w:rsidP="00BD7BCF">
      <w:pPr>
        <w:pStyle w:val="Hesber"/>
        <w:rPr>
          <w:rtl/>
        </w:rPr>
      </w:pPr>
      <w:r>
        <w:rPr>
          <w:rFonts w:hint="cs"/>
          <w:rtl/>
        </w:rPr>
        <w:lastRenderedPageBreak/>
        <w:t xml:space="preserve">לכן, דין </w:t>
      </w:r>
      <w:r>
        <w:rPr>
          <w:rtl/>
        </w:rPr>
        <w:t>עונש מוות למחבלים</w:t>
      </w:r>
      <w:r>
        <w:rPr>
          <w:rFonts w:hint="cs"/>
          <w:rtl/>
        </w:rPr>
        <w:t xml:space="preserve"> </w:t>
      </w:r>
      <w:r>
        <w:rPr>
          <w:rFonts w:hint="cs"/>
          <w:b/>
          <w:color w:val="auto"/>
          <w:sz w:val="26"/>
          <w:rtl/>
        </w:rPr>
        <w:t>שהורשעו ב</w:t>
      </w:r>
      <w:r w:rsidR="00BD7BCF">
        <w:rPr>
          <w:rFonts w:hint="cs"/>
          <w:b/>
          <w:color w:val="auto"/>
          <w:sz w:val="26"/>
          <w:rtl/>
        </w:rPr>
        <w:t>מעשה</w:t>
      </w:r>
      <w:r w:rsidR="000F6007">
        <w:rPr>
          <w:rFonts w:hint="cs"/>
          <w:b/>
          <w:color w:val="auto"/>
          <w:sz w:val="26"/>
          <w:rtl/>
        </w:rPr>
        <w:t xml:space="preserve"> טרור</w:t>
      </w:r>
      <w:r>
        <w:rPr>
          <w:rtl/>
        </w:rPr>
        <w:t xml:space="preserve"> הוא הכרח הרתעתי</w:t>
      </w:r>
      <w:r>
        <w:rPr>
          <w:rFonts w:hint="cs"/>
          <w:rtl/>
        </w:rPr>
        <w:t xml:space="preserve"> ביחס למציאות עמה מתמודדת המדינה</w:t>
      </w:r>
      <w:r>
        <w:rPr>
          <w:rtl/>
        </w:rPr>
        <w:t xml:space="preserve">. הצעת חוק זו נועדה ליצור הרתעה משמעותית </w:t>
      </w:r>
      <w:r>
        <w:rPr>
          <w:rFonts w:hint="cs"/>
          <w:rtl/>
        </w:rPr>
        <w:t xml:space="preserve">בקרב </w:t>
      </w:r>
      <w:r>
        <w:rPr>
          <w:rtl/>
        </w:rPr>
        <w:t xml:space="preserve">מבצעי </w:t>
      </w:r>
      <w:r w:rsidR="00BD7BCF">
        <w:rPr>
          <w:rFonts w:hint="cs"/>
          <w:rtl/>
        </w:rPr>
        <w:t>מעשי</w:t>
      </w:r>
      <w:r>
        <w:rPr>
          <w:rtl/>
        </w:rPr>
        <w:t xml:space="preserve"> טרור, ביודעם כי ישראל מחמירה מדיניותה ואינה מתפשרת עוד על ביצוע פשע מסוג זה.  </w:t>
      </w:r>
    </w:p>
    <w:p w14:paraId="0C8EBF2A" w14:textId="22B30BDB" w:rsidR="002120C8" w:rsidRDefault="002120C8" w:rsidP="000F6007">
      <w:pPr>
        <w:pStyle w:val="Hesber"/>
        <w:rPr>
          <w:rtl/>
        </w:rPr>
      </w:pPr>
      <w:r w:rsidRPr="00A04DDB">
        <w:rPr>
          <w:rFonts w:hint="eastAsia"/>
          <w:rtl/>
        </w:rPr>
        <w:t>הצעות</w:t>
      </w:r>
      <w:r w:rsidRPr="00A04DDB">
        <w:rPr>
          <w:rtl/>
        </w:rPr>
        <w:t xml:space="preserve"> </w:t>
      </w:r>
      <w:r w:rsidRPr="00A04DDB">
        <w:rPr>
          <w:rFonts w:hint="eastAsia"/>
          <w:rtl/>
        </w:rPr>
        <w:t>חוק</w:t>
      </w:r>
      <w:r w:rsidRPr="00A04DDB">
        <w:rPr>
          <w:rtl/>
        </w:rPr>
        <w:t xml:space="preserve"> </w:t>
      </w:r>
      <w:r w:rsidRPr="00A04DDB">
        <w:rPr>
          <w:rFonts w:hint="eastAsia"/>
          <w:rtl/>
        </w:rPr>
        <w:t>זהות</w:t>
      </w:r>
      <w:r w:rsidRPr="00A04DDB">
        <w:rPr>
          <w:rtl/>
        </w:rPr>
        <w:t xml:space="preserve"> </w:t>
      </w:r>
      <w:r w:rsidRPr="00A04DDB">
        <w:rPr>
          <w:rFonts w:hint="eastAsia"/>
          <w:rtl/>
        </w:rPr>
        <w:t>הונחו</w:t>
      </w:r>
      <w:r w:rsidRPr="00A04DDB">
        <w:rPr>
          <w:rtl/>
        </w:rPr>
        <w:t xml:space="preserve"> </w:t>
      </w:r>
      <w:r w:rsidRPr="00A04DDB">
        <w:rPr>
          <w:rFonts w:hint="eastAsia"/>
          <w:rtl/>
        </w:rPr>
        <w:t>על</w:t>
      </w:r>
      <w:r w:rsidRPr="00A04DDB">
        <w:rPr>
          <w:rtl/>
        </w:rPr>
        <w:t xml:space="preserve"> </w:t>
      </w:r>
      <w:r w:rsidRPr="00A04DDB">
        <w:rPr>
          <w:rFonts w:hint="eastAsia"/>
          <w:rtl/>
        </w:rPr>
        <w:t>שולחן</w:t>
      </w:r>
      <w:r w:rsidRPr="00A04DDB">
        <w:rPr>
          <w:rtl/>
        </w:rPr>
        <w:t xml:space="preserve"> </w:t>
      </w:r>
      <w:r w:rsidRPr="00A04DDB">
        <w:rPr>
          <w:rFonts w:hint="eastAsia"/>
          <w:rtl/>
        </w:rPr>
        <w:t>הכנסת</w:t>
      </w:r>
      <w:r w:rsidRPr="00A04DDB">
        <w:rPr>
          <w:rtl/>
        </w:rPr>
        <w:t xml:space="preserve"> </w:t>
      </w:r>
      <w:r w:rsidRPr="00A04DDB">
        <w:rPr>
          <w:rFonts w:hint="eastAsia"/>
          <w:rtl/>
        </w:rPr>
        <w:t>ה</w:t>
      </w:r>
      <w:r w:rsidR="000F6007">
        <w:rPr>
          <w:rFonts w:hint="cs"/>
          <w:rtl/>
        </w:rPr>
        <w:t xml:space="preserve">עשרים </w:t>
      </w:r>
      <w:r w:rsidRPr="00A04DDB">
        <w:rPr>
          <w:rFonts w:hint="eastAsia"/>
          <w:rtl/>
        </w:rPr>
        <w:t>על</w:t>
      </w:r>
      <w:r w:rsidRPr="00A04DDB">
        <w:rPr>
          <w:rtl/>
        </w:rPr>
        <w:t xml:space="preserve"> </w:t>
      </w:r>
      <w:r w:rsidRPr="00A04DDB">
        <w:rPr>
          <w:rFonts w:hint="eastAsia"/>
          <w:rtl/>
        </w:rPr>
        <w:t>ידי</w:t>
      </w:r>
      <w:r w:rsidRPr="00A04DDB">
        <w:rPr>
          <w:rtl/>
        </w:rPr>
        <w:t xml:space="preserve"> </w:t>
      </w:r>
      <w:r w:rsidRPr="00A04DDB">
        <w:rPr>
          <w:rFonts w:hint="eastAsia"/>
          <w:rtl/>
        </w:rPr>
        <w:t>חבר</w:t>
      </w:r>
      <w:r w:rsidRPr="00A04DDB">
        <w:rPr>
          <w:rtl/>
        </w:rPr>
        <w:t xml:space="preserve"> </w:t>
      </w:r>
      <w:r w:rsidRPr="00A04DDB">
        <w:rPr>
          <w:rFonts w:hint="eastAsia"/>
          <w:rtl/>
        </w:rPr>
        <w:t>הכנסת</w:t>
      </w:r>
      <w:r w:rsidRPr="00A04DDB">
        <w:rPr>
          <w:rtl/>
        </w:rPr>
        <w:t xml:space="preserve"> </w:t>
      </w:r>
      <w:r w:rsidRPr="00A04DDB">
        <w:rPr>
          <w:rFonts w:hint="eastAsia"/>
          <w:rtl/>
        </w:rPr>
        <w:t>שרון</w:t>
      </w:r>
      <w:r w:rsidRPr="00A04DDB">
        <w:rPr>
          <w:rtl/>
        </w:rPr>
        <w:t xml:space="preserve"> </w:t>
      </w:r>
      <w:r w:rsidRPr="00A04DDB">
        <w:rPr>
          <w:rFonts w:hint="eastAsia"/>
          <w:rtl/>
        </w:rPr>
        <w:t>גל</w:t>
      </w:r>
      <w:r w:rsidRPr="00A04DDB">
        <w:rPr>
          <w:rtl/>
        </w:rPr>
        <w:t xml:space="preserve"> </w:t>
      </w:r>
      <w:r w:rsidRPr="00A04DDB">
        <w:rPr>
          <w:rFonts w:hint="eastAsia"/>
          <w:rtl/>
        </w:rPr>
        <w:t>וקבוצת</w:t>
      </w:r>
      <w:r w:rsidRPr="00A04DDB">
        <w:rPr>
          <w:rtl/>
        </w:rPr>
        <w:t xml:space="preserve"> </w:t>
      </w:r>
      <w:r w:rsidRPr="00A04DDB">
        <w:rPr>
          <w:rFonts w:hint="eastAsia"/>
          <w:rtl/>
        </w:rPr>
        <w:t>חברי</w:t>
      </w:r>
      <w:r w:rsidRPr="00A04DDB">
        <w:rPr>
          <w:rtl/>
        </w:rPr>
        <w:t xml:space="preserve"> </w:t>
      </w:r>
      <w:r w:rsidRPr="00A04DDB">
        <w:rPr>
          <w:rFonts w:hint="eastAsia"/>
          <w:rtl/>
        </w:rPr>
        <w:t>הכנסת</w:t>
      </w:r>
      <w:r w:rsidRPr="00A04DDB">
        <w:rPr>
          <w:rtl/>
        </w:rPr>
        <w:t xml:space="preserve"> (</w:t>
      </w:r>
      <w:r w:rsidRPr="00866CE1">
        <w:rPr>
          <w:rFonts w:hint="eastAsia"/>
          <w:rtl/>
        </w:rPr>
        <w:t>פ</w:t>
      </w:r>
      <w:r w:rsidRPr="00866CE1">
        <w:rPr>
          <w:rtl/>
        </w:rPr>
        <w:t>/1157/20</w:t>
      </w:r>
      <w:r w:rsidRPr="00A04DDB">
        <w:rPr>
          <w:rtl/>
        </w:rPr>
        <w:t>; הוסרה מסדר היום ביום כ"ח בתמוז התשע"ה (15 ליולי 2015))</w:t>
      </w:r>
      <w:r w:rsidR="00703CD4">
        <w:rPr>
          <w:rFonts w:hint="cs"/>
          <w:rtl/>
        </w:rPr>
        <w:t>,</w:t>
      </w:r>
      <w:r w:rsidRPr="00A04DDB">
        <w:rPr>
          <w:rtl/>
        </w:rPr>
        <w:t xml:space="preserve"> </w:t>
      </w:r>
      <w:r w:rsidR="000F6007">
        <w:rPr>
          <w:rFonts w:hint="cs"/>
          <w:rtl/>
        </w:rPr>
        <w:t>ו</w:t>
      </w:r>
      <w:r w:rsidRPr="00A04DDB">
        <w:rPr>
          <w:rtl/>
        </w:rPr>
        <w:t>על ידי חברת הכנסת אורלי לוי אבוקסיס וקבוצת חברי הכנסת (פ/2221/20)</w:t>
      </w:r>
      <w:r w:rsidR="005E6B27">
        <w:rPr>
          <w:rFonts w:hint="cs"/>
          <w:rtl/>
        </w:rPr>
        <w:t>.</w:t>
      </w:r>
    </w:p>
    <w:p w14:paraId="32E55322" w14:textId="77777777" w:rsidR="000F6007" w:rsidRDefault="000F6007" w:rsidP="000F6007">
      <w:pPr>
        <w:pStyle w:val="Hesber"/>
        <w:rPr>
          <w:rtl/>
        </w:rPr>
      </w:pPr>
    </w:p>
    <w:p w14:paraId="10B154D3" w14:textId="77777777" w:rsidR="000F6007" w:rsidRDefault="000F6007" w:rsidP="000F6007">
      <w:pPr>
        <w:pStyle w:val="Hesber"/>
        <w:rPr>
          <w:rtl/>
        </w:rPr>
      </w:pPr>
    </w:p>
    <w:p w14:paraId="3E78D705" w14:textId="77777777" w:rsidR="000F6007" w:rsidRPr="00603DBE" w:rsidRDefault="000F6007" w:rsidP="000F6007">
      <w:pPr>
        <w:pStyle w:val="Hesber"/>
      </w:pPr>
    </w:p>
    <w:p w14:paraId="00D22FF4" w14:textId="77777777" w:rsidR="000F6007" w:rsidRPr="00D73212" w:rsidRDefault="000F6007" w:rsidP="000F6007">
      <w:pPr>
        <w:pStyle w:val="Hesber"/>
        <w:rPr>
          <w:color w:val="auto"/>
          <w:rtl/>
          <w:lang w:eastAsia="en-US"/>
        </w:rPr>
      </w:pPr>
      <w:r w:rsidRPr="00D73212">
        <w:rPr>
          <w:color w:val="auto"/>
          <w:rtl/>
          <w:lang w:eastAsia="en-US"/>
        </w:rPr>
        <w:t>---------------------------------</w:t>
      </w:r>
    </w:p>
    <w:p w14:paraId="1A8641EA" w14:textId="77777777" w:rsidR="000F6007" w:rsidRPr="00D73212" w:rsidRDefault="000F6007" w:rsidP="000F6007">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2B9B702C" w14:textId="77777777" w:rsidR="000F6007" w:rsidRPr="00D73212" w:rsidRDefault="000F6007" w:rsidP="000F6007">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052B15E0" w14:textId="77777777" w:rsidR="000F6007" w:rsidRPr="00317312" w:rsidRDefault="000F6007" w:rsidP="000F6007">
      <w:pPr>
        <w:pStyle w:val="Hesber"/>
      </w:pPr>
      <w:r>
        <w:rPr>
          <w:rFonts w:hint="cs"/>
          <w:color w:val="auto"/>
          <w:rtl/>
          <w:lang w:eastAsia="en-US"/>
        </w:rPr>
        <w:t>ג'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23.10</w:t>
      </w:r>
      <w:r w:rsidRPr="00D73212">
        <w:rPr>
          <w:color w:val="auto"/>
          <w:rtl/>
          <w:lang w:eastAsia="en-US"/>
        </w:rPr>
        <w:t>.</w:t>
      </w:r>
      <w:r>
        <w:rPr>
          <w:rFonts w:hint="cs"/>
          <w:color w:val="auto"/>
          <w:rtl/>
          <w:lang w:eastAsia="en-US"/>
        </w:rPr>
        <w:t>17</w:t>
      </w:r>
    </w:p>
    <w:p w14:paraId="5B4868ED" w14:textId="1A6429CB" w:rsidR="002120C8" w:rsidRDefault="002120C8" w:rsidP="002120C8">
      <w:pPr>
        <w:pStyle w:val="Hesber"/>
        <w:rPr>
          <w:rtl/>
        </w:rPr>
      </w:pPr>
    </w:p>
    <w:p w14:paraId="03EE2E8F" w14:textId="77777777" w:rsidR="002120C8" w:rsidRDefault="002120C8" w:rsidP="002120C8">
      <w:pPr>
        <w:pStyle w:val="Hesber"/>
        <w:rPr>
          <w:rtl/>
        </w:rPr>
      </w:pPr>
    </w:p>
    <w:p w14:paraId="4EECFB7F" w14:textId="77777777" w:rsidR="00603DBE" w:rsidRPr="002120C8" w:rsidRDefault="00603DBE" w:rsidP="00866CE1">
      <w:pPr>
        <w:rPr>
          <w:rtl/>
        </w:rPr>
      </w:pPr>
    </w:p>
    <w:sectPr w:rsidR="00603DBE" w:rsidRPr="002120C8"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B465D">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637CCAFC" w14:textId="77777777" w:rsidR="002120C8" w:rsidRDefault="002120C8" w:rsidP="002120C8">
      <w:pPr>
        <w:pStyle w:val="a4"/>
      </w:pPr>
      <w:r w:rsidRPr="00603DBE">
        <w:rPr>
          <w:rStyle w:val="a6"/>
        </w:rPr>
        <w:footnoteRef/>
      </w:r>
      <w:r w:rsidRPr="00603DBE">
        <w:rPr>
          <w:rtl/>
        </w:rPr>
        <w:t xml:space="preserve"> </w:t>
      </w:r>
      <w:r w:rsidRPr="00603DBE">
        <w:rPr>
          <w:rFonts w:hint="cs"/>
          <w:rtl/>
        </w:rPr>
        <w:t>ס"ח התשל"ז, עמ' 226.</w:t>
      </w:r>
    </w:p>
  </w:footnote>
  <w:footnote w:id="3">
    <w:p w14:paraId="458417BD" w14:textId="77777777" w:rsidR="002120C8" w:rsidRDefault="002120C8" w:rsidP="002120C8">
      <w:pPr>
        <w:pStyle w:val="a4"/>
      </w:pPr>
      <w:r>
        <w:rPr>
          <w:rStyle w:val="a6"/>
        </w:rPr>
        <w:footnoteRef/>
      </w:r>
      <w:r>
        <w:rPr>
          <w:rtl/>
        </w:rPr>
        <w:t xml:space="preserve"> </w:t>
      </w:r>
      <w:r>
        <w:rPr>
          <w:rFonts w:hint="cs"/>
          <w:rtl/>
        </w:rPr>
        <w:t>ס"ח התשע"ו, עמ' 898.</w:t>
      </w:r>
    </w:p>
  </w:footnote>
  <w:footnote w:id="4">
    <w:p w14:paraId="778F809A" w14:textId="70AF997A" w:rsidR="002120C8" w:rsidRDefault="002120C8" w:rsidP="002120C8">
      <w:pPr>
        <w:pStyle w:val="a4"/>
        <w:rPr>
          <w:rtl/>
        </w:rPr>
      </w:pPr>
      <w:r w:rsidRPr="00603DBE">
        <w:rPr>
          <w:rStyle w:val="a6"/>
        </w:rPr>
        <w:footnoteRef/>
      </w:r>
      <w:r w:rsidRPr="00603DBE">
        <w:rPr>
          <w:rtl/>
        </w:rPr>
        <w:t xml:space="preserve"> </w:t>
      </w:r>
      <w:r w:rsidRPr="00603DBE">
        <w:rPr>
          <w:rFonts w:hint="cs"/>
          <w:rtl/>
        </w:rPr>
        <w:t>ס"ח ה</w:t>
      </w:r>
      <w:r w:rsidRPr="00603DBE">
        <w:rPr>
          <w:rFonts w:hint="eastAsia"/>
          <w:rtl/>
        </w:rPr>
        <w:t>תשס</w:t>
      </w:r>
      <w:r w:rsidRPr="00603DBE">
        <w:rPr>
          <w:rtl/>
        </w:rPr>
        <w:t xml:space="preserve">"ז, </w:t>
      </w:r>
      <w:r w:rsidRPr="00603DBE">
        <w:rPr>
          <w:rFonts w:hint="eastAsia"/>
          <w:rtl/>
        </w:rPr>
        <w:t>עמ</w:t>
      </w:r>
      <w:r w:rsidRPr="00603DBE">
        <w:rPr>
          <w:rtl/>
        </w:rPr>
        <w:t>' 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F6007"/>
    <w:rsid w:val="00102B6B"/>
    <w:rsid w:val="001052D4"/>
    <w:rsid w:val="0010644B"/>
    <w:rsid w:val="001207F8"/>
    <w:rsid w:val="00121924"/>
    <w:rsid w:val="001279A8"/>
    <w:rsid w:val="0014195F"/>
    <w:rsid w:val="00152609"/>
    <w:rsid w:val="00153E1B"/>
    <w:rsid w:val="001A0623"/>
    <w:rsid w:val="001C23B0"/>
    <w:rsid w:val="001D09AD"/>
    <w:rsid w:val="001D7AAF"/>
    <w:rsid w:val="00203A7F"/>
    <w:rsid w:val="002120C8"/>
    <w:rsid w:val="0021633A"/>
    <w:rsid w:val="002200A1"/>
    <w:rsid w:val="00222FB8"/>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3F729D"/>
    <w:rsid w:val="004033D8"/>
    <w:rsid w:val="004073F0"/>
    <w:rsid w:val="00412A7D"/>
    <w:rsid w:val="00416B4D"/>
    <w:rsid w:val="00417CFC"/>
    <w:rsid w:val="004A06DC"/>
    <w:rsid w:val="004B24ED"/>
    <w:rsid w:val="004B6625"/>
    <w:rsid w:val="004D2D82"/>
    <w:rsid w:val="004D3876"/>
    <w:rsid w:val="004E4552"/>
    <w:rsid w:val="004E6CDF"/>
    <w:rsid w:val="00553C9D"/>
    <w:rsid w:val="0056047F"/>
    <w:rsid w:val="00562A66"/>
    <w:rsid w:val="005B064E"/>
    <w:rsid w:val="005C0FA7"/>
    <w:rsid w:val="005D51AE"/>
    <w:rsid w:val="005E6B27"/>
    <w:rsid w:val="00603DBE"/>
    <w:rsid w:val="0062674B"/>
    <w:rsid w:val="006363B2"/>
    <w:rsid w:val="00644940"/>
    <w:rsid w:val="006818A9"/>
    <w:rsid w:val="006A2D81"/>
    <w:rsid w:val="006C1D0D"/>
    <w:rsid w:val="00703CD4"/>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66CE1"/>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2E3B"/>
    <w:rsid w:val="00966D06"/>
    <w:rsid w:val="00982412"/>
    <w:rsid w:val="00983A8D"/>
    <w:rsid w:val="00987628"/>
    <w:rsid w:val="009A0DB8"/>
    <w:rsid w:val="009A7257"/>
    <w:rsid w:val="009D6E0A"/>
    <w:rsid w:val="009E1E33"/>
    <w:rsid w:val="00A04DDB"/>
    <w:rsid w:val="00A14672"/>
    <w:rsid w:val="00A26BD6"/>
    <w:rsid w:val="00A443CF"/>
    <w:rsid w:val="00A6611D"/>
    <w:rsid w:val="00A82CB7"/>
    <w:rsid w:val="00A942C1"/>
    <w:rsid w:val="00AA2F03"/>
    <w:rsid w:val="00AC36F7"/>
    <w:rsid w:val="00AC63A4"/>
    <w:rsid w:val="00AD239E"/>
    <w:rsid w:val="00B10265"/>
    <w:rsid w:val="00B16A99"/>
    <w:rsid w:val="00B21211"/>
    <w:rsid w:val="00B262C6"/>
    <w:rsid w:val="00B35784"/>
    <w:rsid w:val="00B733A7"/>
    <w:rsid w:val="00B75C91"/>
    <w:rsid w:val="00B975AD"/>
    <w:rsid w:val="00BC45FB"/>
    <w:rsid w:val="00BD7BCF"/>
    <w:rsid w:val="00BF148D"/>
    <w:rsid w:val="00C23B1A"/>
    <w:rsid w:val="00C310EB"/>
    <w:rsid w:val="00C9176A"/>
    <w:rsid w:val="00CA687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B465D"/>
    <w:rsid w:val="00EB479C"/>
    <w:rsid w:val="00ED4A6F"/>
    <w:rsid w:val="00EF3A3A"/>
    <w:rsid w:val="00F628D6"/>
    <w:rsid w:val="00F67051"/>
    <w:rsid w:val="00F77598"/>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3F729D"/>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6054">
      <w:bodyDiv w:val="1"/>
      <w:marLeft w:val="0"/>
      <w:marRight w:val="0"/>
      <w:marTop w:val="0"/>
      <w:marBottom w:val="0"/>
      <w:divBdr>
        <w:top w:val="none" w:sz="0" w:space="0" w:color="auto"/>
        <w:left w:val="none" w:sz="0" w:space="0" w:color="auto"/>
        <w:bottom w:val="none" w:sz="0" w:space="0" w:color="auto"/>
        <w:right w:val="none" w:sz="0" w:space="0" w:color="auto"/>
      </w:divBdr>
    </w:div>
    <w:div w:id="969939220">
      <w:bodyDiv w:val="1"/>
      <w:marLeft w:val="0"/>
      <w:marRight w:val="0"/>
      <w:marTop w:val="0"/>
      <w:marBottom w:val="0"/>
      <w:divBdr>
        <w:top w:val="none" w:sz="0" w:space="0" w:color="auto"/>
        <w:left w:val="none" w:sz="0" w:space="0" w:color="auto"/>
        <w:bottom w:val="none" w:sz="0" w:space="0" w:color="auto"/>
        <w:right w:val="none" w:sz="0" w:space="0" w:color="auto"/>
      </w:divBdr>
    </w:div>
    <w:div w:id="1233270102">
      <w:bodyDiv w:val="1"/>
      <w:marLeft w:val="0"/>
      <w:marRight w:val="0"/>
      <w:marTop w:val="0"/>
      <w:marBottom w:val="0"/>
      <w:divBdr>
        <w:top w:val="none" w:sz="0" w:space="0" w:color="auto"/>
        <w:left w:val="none" w:sz="0" w:space="0" w:color="auto"/>
        <w:bottom w:val="none" w:sz="0" w:space="0" w:color="auto"/>
        <w:right w:val="none" w:sz="0" w:space="0" w:color="auto"/>
      </w:divBdr>
      <w:divsChild>
        <w:div w:id="1357850525">
          <w:marLeft w:val="0"/>
          <w:marRight w:val="0"/>
          <w:marTop w:val="0"/>
          <w:marBottom w:val="0"/>
          <w:divBdr>
            <w:top w:val="none" w:sz="0" w:space="0" w:color="auto"/>
            <w:left w:val="none" w:sz="0" w:space="0" w:color="auto"/>
            <w:bottom w:val="none" w:sz="0" w:space="0" w:color="auto"/>
            <w:right w:val="none" w:sz="0" w:space="0" w:color="auto"/>
          </w:divBdr>
        </w:div>
      </w:divsChild>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DEA1-E1CF-4B22-B7FD-71156AF8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C3F899F-B344-462A-ABEA-077CD15F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310</Words>
  <Characters>1550</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15</cp:revision>
  <cp:lastPrinted>2017-10-16T12:06:00Z</cp:lastPrinted>
  <dcterms:created xsi:type="dcterms:W3CDTF">2015-04-20T09:58:00Z</dcterms:created>
  <dcterms:modified xsi:type="dcterms:W3CDTF">2017-10-16T12:09:00Z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2020494</vt:r8>
  </property>
</Properties>
</file>