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2013156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50AAE5F4" w:rsidR="00E13C27" w:rsidRPr="00CF1AA2" w:rsidRDefault="008F6665" w:rsidP="004A6D99">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אמיר אוחנה</w:t>
      </w:r>
      <w:r>
        <w:br/>
      </w:r>
      <w:r>
        <w:rPr>
          <w:rFonts w:hint="cs"/>
          <w:b/>
          <w:bCs/>
          <w:rtl/>
        </w:rPr>
        <w:t xml:space="preserve"> </w:t>
      </w:r>
      <w:r>
        <w:tab/>
      </w:r>
      <w:r>
        <w:tab/>
      </w:r>
      <w:r>
        <w:tab/>
      </w:r>
      <w:r>
        <w:tab/>
      </w:r>
      <w:r>
        <w:rPr>
          <w:rFonts w:hint="cs"/>
          <w:b/>
          <w:bCs/>
          <w:rtl/>
        </w:rPr>
        <w:t>מרדכי יוגב</w:t>
      </w:r>
      <w:r>
        <w:br/>
      </w:r>
      <w:r>
        <w:rPr>
          <w:rFonts w:hint="cs"/>
          <w:b/>
          <w:bCs/>
          <w:rtl/>
        </w:rPr>
        <w:t xml:space="preserve"> </w:t>
      </w:r>
      <w:r>
        <w:tab/>
      </w:r>
      <w:r>
        <w:tab/>
      </w:r>
      <w:r>
        <w:tab/>
      </w:r>
      <w:r>
        <w:tab/>
      </w:r>
      <w:r>
        <w:rPr>
          <w:rFonts w:hint="cs"/>
          <w:b/>
          <w:bCs/>
          <w:rtl/>
        </w:rPr>
        <w:t>בצלאל סמוטריץ'</w:t>
      </w:r>
      <w:r>
        <w:br/>
      </w:r>
      <w:r>
        <w:rPr>
          <w:rFonts w:hint="cs"/>
          <w:b/>
          <w:bCs/>
          <w:rtl/>
        </w:rPr>
        <w:t xml:space="preserve"> </w:t>
      </w:r>
      <w:r>
        <w:tab/>
      </w:r>
      <w:r>
        <w:tab/>
      </w:r>
      <w:r>
        <w:tab/>
      </w:r>
      <w:r>
        <w:tab/>
      </w:r>
      <w:r>
        <w:rPr>
          <w:rFonts w:hint="cs"/>
          <w:b/>
          <w:bCs/>
          <w:rtl/>
        </w:rPr>
        <w:t>יגאל גואטה</w:t>
      </w:r>
      <w:r>
        <w:br/>
      </w:r>
      <w:r>
        <w:rPr>
          <w:rFonts w:hint="cs"/>
          <w:b/>
          <w:bCs/>
          <w:rtl/>
        </w:rPr>
        <w:t xml:space="preserve"> </w:t>
      </w:r>
      <w:r>
        <w:tab/>
      </w:r>
      <w:r>
        <w:tab/>
      </w:r>
      <w:r>
        <w:tab/>
      </w:r>
      <w:r>
        <w:tab/>
      </w:r>
      <w:r>
        <w:rPr>
          <w:rFonts w:hint="cs"/>
          <w:b/>
          <w:bCs/>
          <w:rtl/>
        </w:rPr>
        <w:t>מיכאל מלכיאלי</w:t>
      </w:r>
      <w:r>
        <w:br/>
      </w:r>
      <w:r>
        <w:rPr>
          <w:rFonts w:hint="cs"/>
          <w:b/>
          <w:bCs/>
          <w:rtl/>
        </w:rPr>
        <w:t xml:space="preserve"> </w:t>
      </w:r>
      <w:r>
        <w:tab/>
      </w:r>
      <w:r>
        <w:tab/>
      </w:r>
      <w:r>
        <w:tab/>
      </w:r>
      <w:r>
        <w:tab/>
      </w:r>
      <w:r>
        <w:rPr>
          <w:rFonts w:hint="cs"/>
          <w:b/>
          <w:bCs/>
          <w:rtl/>
        </w:rPr>
        <w:t>דוד ביטן</w:t>
      </w:r>
      <w:r>
        <w:br/>
      </w:r>
      <w:r>
        <w:rPr>
          <w:rFonts w:hint="cs"/>
          <w:b/>
          <w:bCs/>
          <w:rtl/>
        </w:rPr>
        <w:t xml:space="preserve"> </w:t>
      </w:r>
      <w:r>
        <w:tab/>
      </w:r>
      <w:r>
        <w:tab/>
      </w:r>
      <w:r>
        <w:tab/>
      </w:r>
      <w:r>
        <w:tab/>
      </w:r>
      <w:r>
        <w:rPr>
          <w:rFonts w:hint="cs"/>
          <w:b/>
          <w:bCs/>
          <w:rtl/>
        </w:rPr>
        <w:t>אורי מקלב</w:t>
      </w:r>
      <w:r>
        <w:br/>
      </w:r>
      <w:r>
        <w:rPr>
          <w:rFonts w:hint="cs"/>
          <w:b/>
          <w:bCs/>
          <w:rtl/>
        </w:rPr>
        <w:t xml:space="preserve"> </w:t>
      </w:r>
      <w:r>
        <w:tab/>
      </w:r>
      <w:r>
        <w:tab/>
      </w:r>
      <w:r>
        <w:tab/>
      </w:r>
      <w:r>
        <w:tab/>
      </w:r>
      <w:r>
        <w:rPr>
          <w:rFonts w:hint="cs"/>
          <w:b/>
          <w:bCs/>
          <w:rtl/>
        </w:rPr>
        <w:t>מנחם אליעזר מוזס</w:t>
      </w:r>
      <w:r>
        <w:br/>
      </w:r>
      <w:r>
        <w:rPr>
          <w:rFonts w:hint="cs"/>
          <w:b/>
          <w:bCs/>
          <w:rtl/>
        </w:rPr>
        <w:t xml:space="preserve"> </w:t>
      </w:r>
      <w:r>
        <w:tab/>
      </w:r>
      <w:r>
        <w:tab/>
      </w:r>
      <w:r>
        <w:tab/>
      </w:r>
      <w:r>
        <w:tab/>
      </w:r>
      <w:r>
        <w:rPr>
          <w:rFonts w:hint="cs"/>
          <w:b/>
          <w:bCs/>
          <w:rtl/>
        </w:rPr>
        <w:t>יואב בן צור</w:t>
      </w:r>
      <w:r>
        <w:br/>
      </w:r>
      <w:r>
        <w:rPr>
          <w:rFonts w:hint="cs"/>
          <w:b/>
          <w:bCs/>
          <w:rtl/>
        </w:rPr>
        <w:t xml:space="preserve"> </w:t>
      </w:r>
      <w:r>
        <w:tab/>
      </w:r>
      <w:r>
        <w:tab/>
      </w:r>
      <w:r>
        <w:tab/>
      </w:r>
      <w:r>
        <w:tab/>
      </w:r>
      <w:r>
        <w:rPr>
          <w:rFonts w:hint="cs"/>
          <w:b/>
          <w:bCs/>
          <w:rtl/>
        </w:rPr>
        <w:t>רוברט אילטוב</w:t>
      </w:r>
      <w:r>
        <w:br/>
      </w:r>
      <w:r>
        <w:rPr>
          <w:rFonts w:hint="cs"/>
          <w:b/>
          <w:bCs/>
          <w:rtl/>
        </w:rPr>
        <w:t xml:space="preserve"> </w:t>
      </w:r>
      <w:r>
        <w:tab/>
      </w:r>
      <w:r>
        <w:tab/>
      </w:r>
      <w:r>
        <w:tab/>
      </w:r>
      <w:r>
        <w:tab/>
      </w:r>
      <w:r>
        <w:rPr>
          <w:rFonts w:hint="cs"/>
          <w:b/>
          <w:bCs/>
          <w:rtl/>
        </w:rPr>
        <w:t>אכרם חסון</w:t>
      </w:r>
      <w:r>
        <w:br/>
      </w:r>
      <w:r>
        <w:rPr>
          <w:rFonts w:hint="cs"/>
          <w:b/>
          <w:bCs/>
          <w:rtl/>
        </w:rPr>
        <w:t xml:space="preserve"> </w:t>
      </w:r>
      <w:r>
        <w:tab/>
      </w:r>
      <w:r>
        <w:tab/>
      </w:r>
      <w:r>
        <w:tab/>
      </w:r>
      <w:r>
        <w:tab/>
      </w:r>
      <w:r>
        <w:rPr>
          <w:rFonts w:hint="cs"/>
          <w:b/>
          <w:bCs/>
          <w:rtl/>
        </w:rPr>
        <w:t>אברהם נגוסה</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מכלוף מיקי זוהר</w:t>
      </w:r>
      <w:r>
        <w:br/>
      </w:r>
      <w:r>
        <w:rPr>
          <w:rFonts w:hint="cs"/>
          <w:b/>
          <w:bCs/>
          <w:rtl/>
        </w:rPr>
        <w:t xml:space="preserve"> </w:t>
      </w:r>
      <w:r>
        <w:tab/>
      </w:r>
      <w:r>
        <w:tab/>
      </w:r>
      <w:r>
        <w:tab/>
      </w:r>
      <w:r>
        <w:tab/>
      </w:r>
      <w:r>
        <w:rPr>
          <w:rFonts w:hint="cs"/>
          <w:b/>
          <w:bCs/>
          <w:rtl/>
        </w:rPr>
        <w:t>אורן אסף חזן</w:t>
      </w:r>
      <w:r>
        <w:br/>
      </w:r>
      <w:r>
        <w:rPr>
          <w:rFonts w:hint="cs"/>
          <w:b/>
          <w:bCs/>
          <w:rtl/>
        </w:rPr>
        <w:t xml:space="preserve"> </w:t>
      </w:r>
      <w:r>
        <w:tab/>
      </w:r>
      <w:r>
        <w:tab/>
      </w:r>
      <w:r>
        <w:tab/>
      </w:r>
      <w:r>
        <w:tab/>
      </w:r>
      <w:r>
        <w:rPr>
          <w:rFonts w:hint="cs"/>
          <w:b/>
          <w:bCs/>
          <w:rtl/>
        </w:rPr>
        <w:t>שולי מועלם-רפאלי</w:t>
      </w:r>
      <w:r>
        <w:br/>
      </w:r>
      <w:r>
        <w:rPr>
          <w:rFonts w:hint="cs"/>
          <w:b/>
          <w:bCs/>
          <w:rtl/>
        </w:rPr>
        <w:t xml:space="preserve"> </w:t>
      </w:r>
      <w:r>
        <w:tab/>
      </w:r>
      <w:r>
        <w:tab/>
      </w:r>
      <w:r>
        <w:tab/>
      </w:r>
      <w:r>
        <w:tab/>
      </w:r>
      <w:r>
        <w:rPr>
          <w:rFonts w:hint="cs"/>
          <w:b/>
          <w:bCs/>
          <w:rtl/>
        </w:rPr>
        <w:t>ישראל אייכלר</w:t>
      </w:r>
      <w:r>
        <w:br/>
      </w:r>
      <w:r>
        <w:rPr>
          <w:rFonts w:hint="cs"/>
          <w:b/>
          <w:bCs/>
          <w:rtl/>
        </w:rPr>
        <w:t xml:space="preserve"> </w:t>
      </w:r>
      <w:r>
        <w:tab/>
      </w:r>
      <w:r>
        <w:tab/>
      </w:r>
      <w:r>
        <w:tab/>
      </w:r>
      <w:r>
        <w:tab/>
      </w:r>
      <w:r>
        <w:rPr>
          <w:rFonts w:hint="cs"/>
          <w:b/>
          <w:bCs/>
          <w:rtl/>
        </w:rPr>
        <w:t>יעקב מרגי</w:t>
      </w:r>
      <w:r>
        <w:br/>
      </w:r>
      <w:r>
        <w:rPr>
          <w:rFonts w:hint="cs"/>
          <w:b/>
          <w:bCs/>
          <w:rtl/>
        </w:rPr>
        <w:t xml:space="preserve"> </w:t>
      </w:r>
      <w:r>
        <w:tab/>
      </w:r>
      <w:r>
        <w:tab/>
      </w:r>
      <w:r>
        <w:tab/>
      </w:r>
      <w:r>
        <w:tab/>
      </w:r>
      <w:r>
        <w:rPr>
          <w:rFonts w:hint="cs"/>
          <w:b/>
          <w:bCs/>
          <w:rtl/>
        </w:rPr>
        <w:t>יעקב אשר</w:t>
      </w:r>
      <w:r>
        <w:br/>
      </w:r>
      <w:r>
        <w:rPr>
          <w:rFonts w:hint="cs"/>
          <w:b/>
          <w:bCs/>
          <w:rtl/>
        </w:rPr>
        <w:t xml:space="preserve"> </w:t>
      </w:r>
      <w:r>
        <w:tab/>
      </w:r>
      <w:r>
        <w:tab/>
      </w:r>
      <w:r>
        <w:tab/>
      </w:r>
      <w:r>
        <w:tab/>
      </w:r>
      <w:r>
        <w:rPr>
          <w:rFonts w:hint="cs"/>
          <w:b/>
          <w:bCs/>
          <w:rtl/>
        </w:rPr>
        <w:t>דוד אמסלם</w:t>
      </w:r>
      <w:r>
        <w:br/>
      </w:r>
      <w:r>
        <w:rPr>
          <w:rFonts w:hint="cs"/>
          <w:b/>
          <w:bCs/>
          <w:rtl/>
        </w:rPr>
        <w:t xml:space="preserve"> </w:t>
      </w:r>
      <w:r>
        <w:tab/>
      </w:r>
      <w:r>
        <w:tab/>
      </w:r>
      <w:r>
        <w:tab/>
      </w:r>
      <w:r>
        <w:tab/>
      </w:r>
      <w:r>
        <w:rPr>
          <w:rFonts w:hint="cs"/>
          <w:b/>
          <w:bCs/>
          <w:rtl/>
        </w:rPr>
        <w:t>עודד פורר</w:t>
      </w:r>
      <w:r>
        <w:br/>
      </w:r>
      <w:r>
        <w:rPr>
          <w:rFonts w:hint="cs"/>
          <w:b/>
          <w:bCs/>
          <w:rtl/>
        </w:rPr>
        <w:t xml:space="preserve"> </w:t>
      </w:r>
      <w:r>
        <w:tab/>
      </w:r>
      <w:r>
        <w:tab/>
      </w:r>
      <w:r>
        <w:tab/>
      </w:r>
      <w:r>
        <w:tab/>
      </w:r>
      <w:r>
        <w:rPr>
          <w:rFonts w:hint="cs"/>
          <w:b/>
          <w:bCs/>
          <w:rtl/>
        </w:rPr>
        <w:t>משה גפני</w:t>
      </w:r>
      <w:r>
        <w:br/>
      </w:r>
      <w:r>
        <w:rPr>
          <w:rFonts w:hint="cs"/>
          <w:b/>
          <w:bCs/>
          <w:rtl/>
        </w:rPr>
        <w:t xml:space="preserve"> </w:t>
      </w:r>
      <w:r>
        <w:tab/>
      </w:r>
      <w:r>
        <w:tab/>
      </w:r>
      <w:r>
        <w:tab/>
      </w:r>
      <w:r>
        <w:tab/>
      </w:r>
      <w:r>
        <w:rPr>
          <w:rFonts w:hint="cs"/>
          <w:b/>
          <w:bCs/>
          <w:rtl/>
        </w:rPr>
        <w:t>יצחק וקנין</w:t>
      </w:r>
      <w:r>
        <w:br/>
      </w:r>
      <w:r>
        <w:rPr>
          <w:rFonts w:hint="cs"/>
          <w:b/>
          <w:bCs/>
          <w:rtl/>
        </w:rPr>
        <w:t xml:space="preserve"> </w:t>
      </w:r>
      <w:r>
        <w:tab/>
      </w:r>
      <w:r>
        <w:tab/>
      </w:r>
      <w:r>
        <w:tab/>
      </w:r>
      <w:r>
        <w:tab/>
      </w:r>
      <w:r>
        <w:rPr>
          <w:rFonts w:hint="cs"/>
          <w:b/>
          <w:bCs/>
          <w:rtl/>
        </w:rPr>
        <w:t>יהודה גליק</w:t>
      </w:r>
      <w:r>
        <w:br/>
      </w:r>
      <w:r>
        <w:rPr>
          <w:rFonts w:hint="cs"/>
          <w:b/>
          <w:bCs/>
          <w:rtl/>
        </w:rPr>
        <w:t xml:space="preserve"> </w:t>
      </w:r>
      <w:r>
        <w:tab/>
      </w:r>
      <w:r>
        <w:tab/>
      </w:r>
      <w:r>
        <w:tab/>
      </w:r>
      <w:r>
        <w:tab/>
      </w:r>
      <w:r>
        <w:rPr>
          <w:rFonts w:hint="cs"/>
          <w:b/>
          <w:bCs/>
          <w:rtl/>
        </w:rPr>
        <w:t>יול</w:t>
      </w:r>
      <w:bookmarkStart w:id="4" w:name="_GoBack"/>
      <w:bookmarkEnd w:id="4"/>
      <w:r>
        <w:rPr>
          <w:rFonts w:hint="cs"/>
          <w:b/>
          <w:bCs/>
          <w:rtl/>
        </w:rPr>
        <w:t>יה מלינובסקי</w:t>
      </w:r>
      <w:bookmarkStart w:id="5" w:name="LGS_Join_List"/>
      <w:bookmarkEnd w:id="3"/>
      <w:r w:rsidR="007D585A">
        <w:rPr>
          <w:rtl/>
        </w:rPr>
        <w:t xml:space="preserve"> </w:t>
      </w:r>
      <w:bookmarkEnd w:id="5"/>
      <w:r w:rsidR="002200A1" w:rsidRPr="00CF1AA2">
        <w:rPr>
          <w:rFonts w:hint="cs"/>
          <w:rtl/>
        </w:rPr>
        <w:tab/>
      </w:r>
      <w:bookmarkStart w:id="6" w:name="LGS_PM_NamesJoin"/>
      <w:r w:rsidR="007D585A">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13420131"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פ/4012/20</w:t>
      </w:r>
      <w:bookmarkEnd w:id="7"/>
    </w:p>
    <w:p w14:paraId="6DF15AF0" w14:textId="77777777" w:rsidR="004A6D99" w:rsidRDefault="004A6D99" w:rsidP="004A6D99">
      <w:pPr>
        <w:pStyle w:val="HeadHatzaotHok"/>
        <w:spacing w:before="0"/>
        <w:rPr>
          <w:rtl/>
        </w:rPr>
      </w:pPr>
      <w:bookmarkStart w:id="8" w:name="LGS_Subject"/>
    </w:p>
    <w:p w14:paraId="7F6961AD" w14:textId="5F00DF8C" w:rsidR="00E13C27" w:rsidRDefault="00A443CF" w:rsidP="004A6D99">
      <w:pPr>
        <w:pStyle w:val="HeadHatzaotHok"/>
        <w:spacing w:before="0"/>
        <w:rPr>
          <w:rtl/>
        </w:rPr>
      </w:pPr>
      <w:r>
        <w:rPr>
          <w:rFonts w:hint="cs"/>
          <w:rtl/>
        </w:rPr>
        <w:t xml:space="preserve">הצעת חוק שירות המדינה (מינויים) (תיקון </w:t>
      </w:r>
      <w:r w:rsidR="004A6D99">
        <w:rPr>
          <w:rFonts w:hint="eastAsia"/>
          <w:rtl/>
        </w:rPr>
        <w:t>–</w:t>
      </w:r>
      <w:r>
        <w:rPr>
          <w:rFonts w:hint="cs"/>
          <w:rtl/>
        </w:rPr>
        <w:t xml:space="preserve"> מינוי יועצים משפטיים של משרדים), התשע"ז–2017</w:t>
      </w:r>
      <w:bookmarkEnd w:id="8"/>
    </w:p>
    <w:p w14:paraId="35C0B1FB" w14:textId="4769696F" w:rsidR="00A83BBF" w:rsidRPr="00F67051" w:rsidRDefault="00A83BBF" w:rsidP="004A6D99">
      <w:pPr>
        <w:pStyle w:val="HeadHatzaotHok"/>
        <w:tabs>
          <w:tab w:val="left" w:pos="2559"/>
        </w:tabs>
        <w:spacing w:before="0"/>
        <w:jc w:val="both"/>
        <w:rPr>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7144"/>
      </w:tblGrid>
      <w:tr w:rsidR="00A14FF7" w14:paraId="76EE0EDE" w14:textId="77777777" w:rsidTr="00522EB1">
        <w:trPr>
          <w:cantSplit/>
        </w:trPr>
        <w:tc>
          <w:tcPr>
            <w:tcW w:w="1870" w:type="dxa"/>
          </w:tcPr>
          <w:p w14:paraId="6C69075B" w14:textId="77777777" w:rsidR="00A14FF7" w:rsidRDefault="00A14FF7" w:rsidP="00522EB1">
            <w:pPr>
              <w:pStyle w:val="TableSideHeading"/>
              <w:ind w:right="0"/>
              <w:rPr>
                <w:sz w:val="26"/>
                <w:rtl/>
              </w:rPr>
            </w:pPr>
            <w:r>
              <w:rPr>
                <w:rFonts w:hint="cs"/>
                <w:sz w:val="26"/>
                <w:rtl/>
              </w:rPr>
              <w:t>תיקון סעיף 12</w:t>
            </w:r>
          </w:p>
        </w:tc>
        <w:tc>
          <w:tcPr>
            <w:tcW w:w="624" w:type="dxa"/>
          </w:tcPr>
          <w:p w14:paraId="144C153D" w14:textId="77777777" w:rsidR="00A14FF7" w:rsidRDefault="00A14FF7" w:rsidP="00522EB1">
            <w:pPr>
              <w:pStyle w:val="TableText"/>
              <w:keepLines w:val="0"/>
            </w:pPr>
            <w:r>
              <w:rPr>
                <w:rFonts w:hint="cs"/>
                <w:rtl/>
              </w:rPr>
              <w:t>1.</w:t>
            </w:r>
          </w:p>
        </w:tc>
        <w:tc>
          <w:tcPr>
            <w:tcW w:w="7144" w:type="dxa"/>
          </w:tcPr>
          <w:p w14:paraId="45D77D48" w14:textId="77777777" w:rsidR="00A14FF7" w:rsidRPr="009D5E26" w:rsidRDefault="00A14FF7" w:rsidP="00522EB1">
            <w:pPr>
              <w:pStyle w:val="TableBlock"/>
            </w:pPr>
            <w:r>
              <w:rPr>
                <w:rFonts w:hint="cs"/>
                <w:rtl/>
              </w:rPr>
              <w:t>בחוק שירות המדינה (מינויים), התשי"ט–1959</w:t>
            </w:r>
            <w:r>
              <w:rPr>
                <w:rStyle w:val="a6"/>
                <w:rtl/>
              </w:rPr>
              <w:footnoteReference w:id="2"/>
            </w:r>
            <w:r>
              <w:rPr>
                <w:rFonts w:hint="cs"/>
                <w:rtl/>
              </w:rPr>
              <w:t>, בסעיף 12 –</w:t>
            </w:r>
          </w:p>
        </w:tc>
      </w:tr>
      <w:tr w:rsidR="004A6D99" w14:paraId="72E419F1" w14:textId="77777777" w:rsidTr="0071005F">
        <w:trPr>
          <w:cantSplit/>
        </w:trPr>
        <w:tc>
          <w:tcPr>
            <w:tcW w:w="1870" w:type="dxa"/>
          </w:tcPr>
          <w:p w14:paraId="25BD4114" w14:textId="77777777" w:rsidR="004A6D99" w:rsidRDefault="004A6D99" w:rsidP="00522EB1">
            <w:pPr>
              <w:pStyle w:val="TableSideHeading"/>
              <w:ind w:right="0"/>
              <w:rPr>
                <w:rtl/>
              </w:rPr>
            </w:pPr>
          </w:p>
        </w:tc>
        <w:tc>
          <w:tcPr>
            <w:tcW w:w="624" w:type="dxa"/>
          </w:tcPr>
          <w:p w14:paraId="68765B6E" w14:textId="77777777" w:rsidR="004A6D99" w:rsidRDefault="004A6D99" w:rsidP="00522EB1">
            <w:pPr>
              <w:pStyle w:val="TableText"/>
              <w:ind w:right="0"/>
              <w:jc w:val="both"/>
            </w:pPr>
          </w:p>
        </w:tc>
        <w:tc>
          <w:tcPr>
            <w:tcW w:w="7144" w:type="dxa"/>
          </w:tcPr>
          <w:p w14:paraId="1B42F600" w14:textId="2544F5C0" w:rsidR="004A6D99" w:rsidRPr="00145C32" w:rsidRDefault="004A6D99" w:rsidP="004A6D99">
            <w:pPr>
              <w:pStyle w:val="TableBlock"/>
              <w:rPr>
                <w:rtl/>
              </w:rPr>
            </w:pPr>
            <w:r>
              <w:rPr>
                <w:rFonts w:hint="cs"/>
                <w:rtl/>
              </w:rPr>
              <w:t>(1)</w:t>
            </w:r>
            <w:r>
              <w:rPr>
                <w:rtl/>
              </w:rPr>
              <w:tab/>
            </w:r>
            <w:r>
              <w:rPr>
                <w:rFonts w:hint="cs"/>
                <w:rtl/>
              </w:rPr>
              <w:t>בכותרת השוליים, במקום "מנהלים כלליים" יבוא "מנהלים כלליים, ויועצים משפטיים";</w:t>
            </w:r>
          </w:p>
        </w:tc>
      </w:tr>
      <w:tr w:rsidR="004A6D99" w14:paraId="0AB19396" w14:textId="77777777" w:rsidTr="002B0BB5">
        <w:trPr>
          <w:cantSplit/>
        </w:trPr>
        <w:tc>
          <w:tcPr>
            <w:tcW w:w="1870" w:type="dxa"/>
          </w:tcPr>
          <w:p w14:paraId="33C41861" w14:textId="77777777" w:rsidR="004A6D99" w:rsidRDefault="004A6D99" w:rsidP="00522EB1">
            <w:pPr>
              <w:pStyle w:val="TableSideHeading"/>
              <w:ind w:right="0"/>
              <w:rPr>
                <w:rtl/>
              </w:rPr>
            </w:pPr>
          </w:p>
        </w:tc>
        <w:tc>
          <w:tcPr>
            <w:tcW w:w="624" w:type="dxa"/>
          </w:tcPr>
          <w:p w14:paraId="04E81563" w14:textId="77777777" w:rsidR="004A6D99" w:rsidRDefault="004A6D99" w:rsidP="00522EB1">
            <w:pPr>
              <w:pStyle w:val="TableText"/>
              <w:ind w:right="0"/>
              <w:jc w:val="both"/>
            </w:pPr>
          </w:p>
        </w:tc>
        <w:tc>
          <w:tcPr>
            <w:tcW w:w="7144" w:type="dxa"/>
          </w:tcPr>
          <w:p w14:paraId="671423E2" w14:textId="01827FA5" w:rsidR="004A6D99" w:rsidRDefault="004A6D99" w:rsidP="004A6D99">
            <w:pPr>
              <w:pStyle w:val="TableBlock"/>
              <w:rPr>
                <w:rtl/>
              </w:rPr>
            </w:pPr>
            <w:r>
              <w:rPr>
                <w:rFonts w:hint="cs"/>
                <w:rtl/>
              </w:rPr>
              <w:t>(2)</w:t>
            </w:r>
            <w:r>
              <w:rPr>
                <w:rtl/>
              </w:rPr>
              <w:tab/>
            </w:r>
            <w:r>
              <w:rPr>
                <w:rFonts w:hint="cs"/>
                <w:rtl/>
              </w:rPr>
              <w:t>אחרי "מנהל כללי" יבוא "ויועץ משפטי".</w:t>
            </w:r>
          </w:p>
        </w:tc>
      </w:tr>
    </w:tbl>
    <w:p w14:paraId="7F6961CA" w14:textId="77777777" w:rsidR="002D1EE3" w:rsidRDefault="002D1EE3" w:rsidP="002D1EE3">
      <w:pPr>
        <w:pStyle w:val="HeadDivreiHesber"/>
        <w:rPr>
          <w:rtl/>
        </w:rPr>
      </w:pPr>
      <w:r w:rsidRPr="0027450A">
        <w:rPr>
          <w:rFonts w:hint="cs"/>
          <w:rtl/>
        </w:rPr>
        <w:t>דברי הסבר</w:t>
      </w:r>
    </w:p>
    <w:p w14:paraId="0AECCCB1" w14:textId="77777777" w:rsidR="00CF3ED0" w:rsidRPr="00A83BBF" w:rsidRDefault="00CF3ED0" w:rsidP="00A83BBF">
      <w:pPr>
        <w:pStyle w:val="Hesber"/>
        <w:rPr>
          <w:rtl/>
        </w:rPr>
      </w:pPr>
      <w:r w:rsidRPr="00A83BBF">
        <w:rPr>
          <w:rFonts w:hint="cs"/>
          <w:rtl/>
        </w:rPr>
        <w:t>בשנים האחרונות חלו שינויים מרחיקי לכת בתפקידם ובמעמדם של היועצים המשפטיים במשרדי הממשלה. כיום, נתפס תפקידו של היועץ המשפטי לא רק כמייע</w:t>
      </w:r>
      <w:r w:rsidRPr="00A83BBF">
        <w:rPr>
          <w:rFonts w:hint="eastAsia"/>
          <w:rtl/>
        </w:rPr>
        <w:t>ץ</w:t>
      </w:r>
      <w:r w:rsidRPr="00A83BBF">
        <w:rPr>
          <w:rFonts w:hint="cs"/>
          <w:rtl/>
        </w:rPr>
        <w:t xml:space="preserve">, אלא גם כמי שיכול לפסול רעיונות ותהליכים אותם מקדם השר המופקד על המשרד במידה ולמיטב הבנתו יש בהם פסול חוקי או חוקתי. שינויים אלה מביאים לעיתים לקושי בפעילותו התקינה של המשרד, הנובע ממחלוקות המתגלעות בין השר הממונה על המשרד לבין היועץ המשפטי. </w:t>
      </w:r>
    </w:p>
    <w:p w14:paraId="397551CE" w14:textId="253A990B" w:rsidR="00CF3ED0" w:rsidRPr="00A83BBF" w:rsidRDefault="00CF3ED0" w:rsidP="00A83BBF">
      <w:pPr>
        <w:pStyle w:val="Hesber"/>
        <w:rPr>
          <w:rtl/>
        </w:rPr>
      </w:pPr>
      <w:r w:rsidRPr="00A83BBF">
        <w:rPr>
          <w:rFonts w:hint="cs"/>
          <w:rtl/>
        </w:rPr>
        <w:t>במרס</w:t>
      </w:r>
      <w:r w:rsidRPr="00A83BBF">
        <w:rPr>
          <w:rtl/>
        </w:rPr>
        <w:t xml:space="preserve"> 2007 </w:t>
      </w:r>
      <w:r w:rsidRPr="00A83BBF">
        <w:rPr>
          <w:rFonts w:hint="cs"/>
          <w:rtl/>
        </w:rPr>
        <w:t>מינו</w:t>
      </w:r>
      <w:r w:rsidRPr="00A83BBF">
        <w:rPr>
          <w:rtl/>
        </w:rPr>
        <w:t xml:space="preserve"> </w:t>
      </w:r>
      <w:r w:rsidRPr="00A83BBF">
        <w:rPr>
          <w:rFonts w:hint="cs"/>
          <w:rtl/>
        </w:rPr>
        <w:t>היועץ</w:t>
      </w:r>
      <w:r w:rsidRPr="00A83BBF">
        <w:rPr>
          <w:rtl/>
        </w:rPr>
        <w:t xml:space="preserve"> </w:t>
      </w:r>
      <w:r w:rsidRPr="00A83BBF">
        <w:rPr>
          <w:rFonts w:hint="cs"/>
          <w:rtl/>
        </w:rPr>
        <w:t>המשפטי</w:t>
      </w:r>
      <w:r w:rsidRPr="00A83BBF">
        <w:rPr>
          <w:rtl/>
        </w:rPr>
        <w:t xml:space="preserve"> </w:t>
      </w:r>
      <w:r w:rsidRPr="00A83BBF">
        <w:rPr>
          <w:rFonts w:hint="cs"/>
          <w:rtl/>
        </w:rPr>
        <w:t>לממשלה</w:t>
      </w:r>
      <w:r w:rsidRPr="00A83BBF">
        <w:rPr>
          <w:rtl/>
        </w:rPr>
        <w:t xml:space="preserve"> </w:t>
      </w:r>
      <w:r w:rsidRPr="00A83BBF">
        <w:rPr>
          <w:rFonts w:hint="cs"/>
          <w:rtl/>
        </w:rPr>
        <w:t>ומנכ</w:t>
      </w:r>
      <w:r w:rsidRPr="00A83BBF">
        <w:rPr>
          <w:rtl/>
        </w:rPr>
        <w:t>"</w:t>
      </w:r>
      <w:r w:rsidRPr="00A83BBF">
        <w:rPr>
          <w:rFonts w:hint="cs"/>
          <w:rtl/>
        </w:rPr>
        <w:t>ל</w:t>
      </w:r>
      <w:r w:rsidRPr="00A83BBF">
        <w:rPr>
          <w:rtl/>
        </w:rPr>
        <w:t xml:space="preserve"> </w:t>
      </w:r>
      <w:r w:rsidRPr="00A83BBF">
        <w:rPr>
          <w:rFonts w:hint="cs"/>
          <w:rtl/>
        </w:rPr>
        <w:t>משרד</w:t>
      </w:r>
      <w:r w:rsidRPr="00A83BBF">
        <w:rPr>
          <w:rtl/>
        </w:rPr>
        <w:t xml:space="preserve"> </w:t>
      </w:r>
      <w:r w:rsidRPr="00A83BBF">
        <w:rPr>
          <w:rFonts w:hint="cs"/>
          <w:rtl/>
        </w:rPr>
        <w:t>ראש</w:t>
      </w:r>
      <w:r w:rsidRPr="00A83BBF">
        <w:rPr>
          <w:rtl/>
        </w:rPr>
        <w:t xml:space="preserve"> </w:t>
      </w:r>
      <w:r w:rsidRPr="00A83BBF">
        <w:rPr>
          <w:rFonts w:hint="cs"/>
          <w:rtl/>
        </w:rPr>
        <w:t>הממשלה</w:t>
      </w:r>
      <w:r w:rsidRPr="00A83BBF">
        <w:rPr>
          <w:rtl/>
        </w:rPr>
        <w:t xml:space="preserve"> </w:t>
      </w:r>
      <w:r w:rsidRPr="00A83BBF">
        <w:rPr>
          <w:rFonts w:hint="cs"/>
          <w:rtl/>
        </w:rPr>
        <w:t>דאז</w:t>
      </w:r>
      <w:r w:rsidRPr="00A83BBF">
        <w:rPr>
          <w:rtl/>
        </w:rPr>
        <w:t xml:space="preserve"> </w:t>
      </w:r>
      <w:r w:rsidRPr="00A83BBF">
        <w:rPr>
          <w:rFonts w:hint="cs"/>
          <w:rtl/>
        </w:rPr>
        <w:t>צוות</w:t>
      </w:r>
      <w:r w:rsidRPr="00A83BBF">
        <w:rPr>
          <w:rtl/>
        </w:rPr>
        <w:t xml:space="preserve"> </w:t>
      </w:r>
      <w:r w:rsidRPr="00A83BBF">
        <w:rPr>
          <w:rFonts w:hint="cs"/>
          <w:rtl/>
        </w:rPr>
        <w:t>בין</w:t>
      </w:r>
      <w:r w:rsidRPr="00A83BBF">
        <w:rPr>
          <w:rtl/>
        </w:rPr>
        <w:t>-</w:t>
      </w:r>
      <w:r w:rsidRPr="00A83BBF">
        <w:rPr>
          <w:rFonts w:hint="cs"/>
          <w:rtl/>
        </w:rPr>
        <w:t>משרדי לבחינת סוגיות</w:t>
      </w:r>
      <w:r w:rsidRPr="00A83BBF">
        <w:rPr>
          <w:rtl/>
        </w:rPr>
        <w:t xml:space="preserve"> </w:t>
      </w:r>
      <w:r w:rsidRPr="00A83BBF">
        <w:rPr>
          <w:rFonts w:hint="cs"/>
          <w:rtl/>
        </w:rPr>
        <w:t>הנוגעות</w:t>
      </w:r>
      <w:r w:rsidRPr="00A83BBF">
        <w:rPr>
          <w:rtl/>
        </w:rPr>
        <w:t xml:space="preserve"> </w:t>
      </w:r>
      <w:r w:rsidRPr="00A83BBF">
        <w:rPr>
          <w:rFonts w:hint="cs"/>
          <w:rtl/>
        </w:rPr>
        <w:t>למערך</w:t>
      </w:r>
      <w:r w:rsidRPr="00A83BBF">
        <w:rPr>
          <w:rtl/>
        </w:rPr>
        <w:t xml:space="preserve"> </w:t>
      </w:r>
      <w:r w:rsidRPr="00A83BBF">
        <w:rPr>
          <w:rFonts w:hint="cs"/>
          <w:rtl/>
        </w:rPr>
        <w:t>הייעוץ</w:t>
      </w:r>
      <w:r w:rsidRPr="00A83BBF">
        <w:rPr>
          <w:rtl/>
        </w:rPr>
        <w:t xml:space="preserve"> </w:t>
      </w:r>
      <w:r w:rsidRPr="00A83BBF">
        <w:rPr>
          <w:rFonts w:hint="cs"/>
          <w:rtl/>
        </w:rPr>
        <w:t>המשפטי</w:t>
      </w:r>
      <w:r w:rsidRPr="00A83BBF">
        <w:rPr>
          <w:rtl/>
        </w:rPr>
        <w:t xml:space="preserve"> </w:t>
      </w:r>
      <w:r w:rsidRPr="00A83BBF">
        <w:rPr>
          <w:rFonts w:hint="cs"/>
          <w:rtl/>
        </w:rPr>
        <w:t>למשרדי</w:t>
      </w:r>
      <w:r w:rsidRPr="00A83BBF">
        <w:rPr>
          <w:rtl/>
        </w:rPr>
        <w:t xml:space="preserve"> </w:t>
      </w:r>
      <w:r w:rsidRPr="00A83BBF">
        <w:rPr>
          <w:rFonts w:hint="cs"/>
          <w:rtl/>
        </w:rPr>
        <w:t>הממשלה. דו</w:t>
      </w:r>
      <w:r w:rsidR="008A3E29" w:rsidRPr="00A83BBF">
        <w:rPr>
          <w:rFonts w:hint="cs"/>
          <w:rtl/>
        </w:rPr>
        <w:t>"</w:t>
      </w:r>
      <w:r w:rsidRPr="00A83BBF">
        <w:rPr>
          <w:rFonts w:hint="cs"/>
          <w:rtl/>
        </w:rPr>
        <w:t>ח</w:t>
      </w:r>
      <w:r w:rsidRPr="00A83BBF">
        <w:rPr>
          <w:rtl/>
        </w:rPr>
        <w:t xml:space="preserve"> </w:t>
      </w:r>
      <w:r w:rsidRPr="00A83BBF">
        <w:rPr>
          <w:rFonts w:hint="cs"/>
          <w:rtl/>
        </w:rPr>
        <w:t>הצוות</w:t>
      </w:r>
      <w:r w:rsidRPr="00A83BBF">
        <w:rPr>
          <w:rtl/>
        </w:rPr>
        <w:t xml:space="preserve"> </w:t>
      </w:r>
      <w:r w:rsidRPr="00A83BBF">
        <w:rPr>
          <w:rFonts w:hint="cs"/>
          <w:rtl/>
        </w:rPr>
        <w:t>הבין</w:t>
      </w:r>
      <w:r w:rsidRPr="00A83BBF">
        <w:rPr>
          <w:rtl/>
        </w:rPr>
        <w:t>-</w:t>
      </w:r>
      <w:r w:rsidRPr="00A83BBF">
        <w:rPr>
          <w:rFonts w:hint="cs"/>
          <w:rtl/>
        </w:rPr>
        <w:t>משרדי,</w:t>
      </w:r>
      <w:r w:rsidRPr="00A83BBF">
        <w:rPr>
          <w:rtl/>
        </w:rPr>
        <w:t xml:space="preserve"> </w:t>
      </w:r>
      <w:r w:rsidRPr="00A83BBF">
        <w:rPr>
          <w:rFonts w:hint="cs"/>
          <w:rtl/>
        </w:rPr>
        <w:t>אשר</w:t>
      </w:r>
      <w:r w:rsidRPr="00A83BBF">
        <w:rPr>
          <w:rtl/>
        </w:rPr>
        <w:t xml:space="preserve"> </w:t>
      </w:r>
      <w:r w:rsidRPr="00A83BBF">
        <w:rPr>
          <w:rFonts w:hint="cs"/>
          <w:rtl/>
        </w:rPr>
        <w:t>הוגש</w:t>
      </w:r>
      <w:r w:rsidRPr="00A83BBF">
        <w:rPr>
          <w:rtl/>
        </w:rPr>
        <w:t xml:space="preserve"> </w:t>
      </w:r>
      <w:r w:rsidRPr="00A83BBF">
        <w:rPr>
          <w:rFonts w:hint="cs"/>
          <w:rtl/>
        </w:rPr>
        <w:t>בספטמבר</w:t>
      </w:r>
      <w:r w:rsidRPr="00A83BBF">
        <w:rPr>
          <w:rtl/>
        </w:rPr>
        <w:t xml:space="preserve"> 2008</w:t>
      </w:r>
      <w:r w:rsidR="00A83BBF" w:rsidRPr="00A83BBF">
        <w:rPr>
          <w:rFonts w:hint="cs"/>
          <w:rtl/>
        </w:rPr>
        <w:t xml:space="preserve"> קבע</w:t>
      </w:r>
      <w:r w:rsidR="008A3E29" w:rsidRPr="00A83BBF">
        <w:rPr>
          <w:rFonts w:hint="cs"/>
          <w:rtl/>
        </w:rPr>
        <w:t xml:space="preserve"> בין היתר</w:t>
      </w:r>
      <w:r w:rsidR="00A83BBF" w:rsidRPr="00A83BBF">
        <w:rPr>
          <w:rFonts w:hint="cs"/>
          <w:rtl/>
        </w:rPr>
        <w:t xml:space="preserve"> כי</w:t>
      </w:r>
      <w:r w:rsidRPr="00A83BBF">
        <w:rPr>
          <w:rFonts w:hint="cs"/>
          <w:rtl/>
        </w:rPr>
        <w:t>: "תפקידו של יועץ משפטי למשרד הוא מתן לבוש משפטי הולם למדיניות המשרד... מודגש</w:t>
      </w:r>
      <w:r w:rsidRPr="00A83BBF">
        <w:rPr>
          <w:rtl/>
        </w:rPr>
        <w:t xml:space="preserve"> </w:t>
      </w:r>
      <w:r w:rsidRPr="00A83BBF">
        <w:rPr>
          <w:rFonts w:hint="cs"/>
          <w:rtl/>
        </w:rPr>
        <w:t>בדוח</w:t>
      </w:r>
      <w:r w:rsidRPr="00A83BBF">
        <w:rPr>
          <w:rtl/>
        </w:rPr>
        <w:t xml:space="preserve"> </w:t>
      </w:r>
      <w:r w:rsidRPr="00A83BBF">
        <w:rPr>
          <w:rFonts w:hint="cs"/>
          <w:rtl/>
        </w:rPr>
        <w:t>כי</w:t>
      </w:r>
      <w:r w:rsidRPr="00A83BBF">
        <w:rPr>
          <w:rtl/>
        </w:rPr>
        <w:t xml:space="preserve"> </w:t>
      </w:r>
      <w:r w:rsidRPr="00A83BBF">
        <w:rPr>
          <w:rFonts w:hint="cs"/>
          <w:rtl/>
        </w:rPr>
        <w:t>יש לצפות</w:t>
      </w:r>
      <w:r w:rsidRPr="00A83BBF">
        <w:rPr>
          <w:rtl/>
        </w:rPr>
        <w:t xml:space="preserve"> </w:t>
      </w:r>
      <w:r w:rsidRPr="00A83BBF">
        <w:rPr>
          <w:rFonts w:hint="cs"/>
          <w:rtl/>
        </w:rPr>
        <w:t>מהיועץ</w:t>
      </w:r>
      <w:r w:rsidRPr="00A83BBF">
        <w:rPr>
          <w:rtl/>
        </w:rPr>
        <w:t xml:space="preserve"> </w:t>
      </w:r>
      <w:r w:rsidRPr="00A83BBF">
        <w:rPr>
          <w:rFonts w:hint="cs"/>
          <w:rtl/>
        </w:rPr>
        <w:t>שלא</w:t>
      </w:r>
      <w:r w:rsidRPr="00A83BBF">
        <w:rPr>
          <w:rtl/>
        </w:rPr>
        <w:t xml:space="preserve"> </w:t>
      </w:r>
      <w:r w:rsidRPr="00A83BBF">
        <w:rPr>
          <w:rFonts w:hint="cs"/>
          <w:rtl/>
        </w:rPr>
        <w:t>להסתפק</w:t>
      </w:r>
      <w:r w:rsidRPr="00A83BBF">
        <w:rPr>
          <w:rtl/>
        </w:rPr>
        <w:t xml:space="preserve"> </w:t>
      </w:r>
      <w:r w:rsidRPr="00A83BBF">
        <w:rPr>
          <w:rFonts w:hint="cs"/>
          <w:rtl/>
        </w:rPr>
        <w:t>בשלילת</w:t>
      </w:r>
      <w:r w:rsidRPr="00A83BBF">
        <w:rPr>
          <w:rtl/>
        </w:rPr>
        <w:t xml:space="preserve"> </w:t>
      </w:r>
      <w:r w:rsidRPr="00A83BBF">
        <w:rPr>
          <w:rFonts w:hint="cs"/>
          <w:rtl/>
        </w:rPr>
        <w:t>הצעות</w:t>
      </w:r>
      <w:r w:rsidRPr="00A83BBF">
        <w:rPr>
          <w:rtl/>
        </w:rPr>
        <w:t xml:space="preserve"> </w:t>
      </w:r>
      <w:r w:rsidRPr="00A83BBF">
        <w:rPr>
          <w:rFonts w:hint="cs"/>
          <w:rtl/>
        </w:rPr>
        <w:t>המשרד</w:t>
      </w:r>
      <w:r w:rsidRPr="00A83BBF">
        <w:rPr>
          <w:rtl/>
        </w:rPr>
        <w:t xml:space="preserve"> </w:t>
      </w:r>
      <w:r w:rsidRPr="00A83BBF">
        <w:rPr>
          <w:rFonts w:hint="cs"/>
          <w:rtl/>
        </w:rPr>
        <w:t>אלא</w:t>
      </w:r>
      <w:r w:rsidRPr="00A83BBF">
        <w:rPr>
          <w:rtl/>
        </w:rPr>
        <w:t xml:space="preserve"> </w:t>
      </w:r>
      <w:r w:rsidRPr="00A83BBF">
        <w:rPr>
          <w:rFonts w:hint="cs"/>
          <w:rtl/>
        </w:rPr>
        <w:t>לפעול</w:t>
      </w:r>
      <w:r w:rsidRPr="00A83BBF">
        <w:rPr>
          <w:rtl/>
        </w:rPr>
        <w:t xml:space="preserve"> </w:t>
      </w:r>
      <w:r w:rsidRPr="00A83BBF">
        <w:rPr>
          <w:rFonts w:hint="cs"/>
          <w:rtl/>
        </w:rPr>
        <w:t>ככל</w:t>
      </w:r>
      <w:r w:rsidRPr="00A83BBF">
        <w:rPr>
          <w:rtl/>
        </w:rPr>
        <w:t xml:space="preserve"> </w:t>
      </w:r>
      <w:r w:rsidRPr="00A83BBF">
        <w:rPr>
          <w:rFonts w:hint="cs"/>
          <w:rtl/>
        </w:rPr>
        <w:t>שניתן</w:t>
      </w:r>
      <w:r w:rsidRPr="00A83BBF">
        <w:rPr>
          <w:rtl/>
        </w:rPr>
        <w:t xml:space="preserve"> </w:t>
      </w:r>
      <w:r w:rsidRPr="00A83BBF">
        <w:rPr>
          <w:rFonts w:hint="cs"/>
          <w:rtl/>
        </w:rPr>
        <w:t>למציאת</w:t>
      </w:r>
      <w:r w:rsidRPr="00A83BBF">
        <w:rPr>
          <w:rtl/>
        </w:rPr>
        <w:t xml:space="preserve"> </w:t>
      </w:r>
      <w:r w:rsidRPr="00A83BBF">
        <w:rPr>
          <w:rFonts w:hint="cs"/>
          <w:rtl/>
        </w:rPr>
        <w:t>פתרונות משפטיים</w:t>
      </w:r>
      <w:r w:rsidRPr="00A83BBF">
        <w:rPr>
          <w:rtl/>
        </w:rPr>
        <w:t xml:space="preserve"> </w:t>
      </w:r>
      <w:r w:rsidRPr="00A83BBF">
        <w:rPr>
          <w:rFonts w:hint="cs"/>
          <w:rtl/>
        </w:rPr>
        <w:t>שיאפשרו</w:t>
      </w:r>
      <w:r w:rsidRPr="00A83BBF">
        <w:rPr>
          <w:rtl/>
        </w:rPr>
        <w:t xml:space="preserve"> </w:t>
      </w:r>
      <w:r w:rsidRPr="00A83BBF">
        <w:rPr>
          <w:rFonts w:hint="cs"/>
          <w:rtl/>
        </w:rPr>
        <w:t>את</w:t>
      </w:r>
      <w:r w:rsidRPr="00A83BBF">
        <w:rPr>
          <w:rtl/>
        </w:rPr>
        <w:t xml:space="preserve"> </w:t>
      </w:r>
      <w:r w:rsidRPr="00A83BBF">
        <w:rPr>
          <w:rFonts w:hint="cs"/>
          <w:rtl/>
        </w:rPr>
        <w:t>ביצוע</w:t>
      </w:r>
      <w:r w:rsidRPr="00A83BBF">
        <w:rPr>
          <w:rtl/>
        </w:rPr>
        <w:t xml:space="preserve"> </w:t>
      </w:r>
      <w:r w:rsidRPr="00A83BBF">
        <w:rPr>
          <w:rFonts w:hint="cs"/>
          <w:rtl/>
        </w:rPr>
        <w:t>מדיניות</w:t>
      </w:r>
      <w:r w:rsidRPr="00A83BBF">
        <w:rPr>
          <w:rtl/>
        </w:rPr>
        <w:t xml:space="preserve"> </w:t>
      </w:r>
      <w:r w:rsidRPr="00A83BBF">
        <w:rPr>
          <w:rFonts w:hint="cs"/>
          <w:rtl/>
        </w:rPr>
        <w:t>המשרד</w:t>
      </w:r>
      <w:r w:rsidRPr="00A83BBF">
        <w:rPr>
          <w:rtl/>
        </w:rPr>
        <w:t>.</w:t>
      </w:r>
      <w:r w:rsidRPr="00A83BBF">
        <w:rPr>
          <w:rFonts w:hint="cs"/>
          <w:rtl/>
        </w:rPr>
        <w:t>"</w:t>
      </w:r>
      <w:r w:rsidR="00A14FF7" w:rsidRPr="00A83BBF">
        <w:rPr>
          <w:rFonts w:hint="cs"/>
          <w:rtl/>
        </w:rPr>
        <w:t xml:space="preserve"> </w:t>
      </w:r>
    </w:p>
    <w:p w14:paraId="64D02BD1" w14:textId="12C61631" w:rsidR="00CF3ED0" w:rsidRPr="00A83BBF" w:rsidRDefault="00CF3ED0" w:rsidP="00D81217">
      <w:pPr>
        <w:pStyle w:val="Hesber"/>
        <w:rPr>
          <w:rtl/>
        </w:rPr>
      </w:pPr>
      <w:r w:rsidRPr="00A83BBF">
        <w:rPr>
          <w:rFonts w:hint="cs"/>
          <w:rtl/>
        </w:rPr>
        <w:t xml:space="preserve">הצעת חוק זו </w:t>
      </w:r>
      <w:r w:rsidR="00A83BBF" w:rsidRPr="00A83BBF">
        <w:rPr>
          <w:rFonts w:hint="cs"/>
          <w:rtl/>
        </w:rPr>
        <w:t>נועדה</w:t>
      </w:r>
      <w:r w:rsidRPr="00A83BBF">
        <w:rPr>
          <w:rFonts w:hint="cs"/>
          <w:rtl/>
        </w:rPr>
        <w:t xml:space="preserve"> להביא לשינוי בשיטת בחירתם של היועצים המשפטיים במשרדי הממשלה, כך שהיועץ המשפטי למשרד </w:t>
      </w:r>
      <w:r w:rsidR="00A83BBF" w:rsidRPr="00A83BBF">
        <w:rPr>
          <w:rFonts w:hint="cs"/>
          <w:rtl/>
        </w:rPr>
        <w:t>י</w:t>
      </w:r>
      <w:r w:rsidRPr="00A83BBF">
        <w:rPr>
          <w:rFonts w:hint="cs"/>
          <w:rtl/>
        </w:rPr>
        <w:t xml:space="preserve">יבחר על ידי השר המופקד על המשרד </w:t>
      </w:r>
      <w:r w:rsidR="00A83BBF" w:rsidRPr="00A83BBF">
        <w:rPr>
          <w:rFonts w:hint="cs"/>
          <w:rtl/>
        </w:rPr>
        <w:t>ל</w:t>
      </w:r>
      <w:r w:rsidRPr="00A83BBF">
        <w:rPr>
          <w:rFonts w:hint="cs"/>
          <w:rtl/>
        </w:rPr>
        <w:t>משרת אמון, כפי שהדבר נעשה היום בנוגע לבחירת מנכ"ל המשרד. שינוי זה יביא להגברת המשילות ולחיזוק משרדי הממשלה, כך שיוכלו ליישם את מדיניות השר המופקד עליהם בצורה מיטבית והרמונית ולא לעומתית ומס</w:t>
      </w:r>
      <w:r w:rsidR="00D81217">
        <w:rPr>
          <w:rFonts w:hint="cs"/>
          <w:rtl/>
        </w:rPr>
        <w:t>כלת</w:t>
      </w:r>
      <w:r w:rsidRPr="00A83BBF">
        <w:rPr>
          <w:rFonts w:hint="cs"/>
          <w:rtl/>
        </w:rPr>
        <w:t xml:space="preserve">. </w:t>
      </w:r>
    </w:p>
    <w:p w14:paraId="212DE4EB" w14:textId="38A7A038" w:rsidR="00CF3ED0" w:rsidRPr="00A83BBF" w:rsidRDefault="00CF3ED0" w:rsidP="00A83BBF">
      <w:pPr>
        <w:pStyle w:val="Hesber"/>
        <w:rPr>
          <w:rtl/>
        </w:rPr>
      </w:pPr>
      <w:r w:rsidRPr="00A83BBF">
        <w:rPr>
          <w:rFonts w:hint="cs"/>
          <w:rtl/>
        </w:rPr>
        <w:t xml:space="preserve">יודגש כי שיטה זו אינה ייחודית לישראל. בארה"ב לאחר כל מערכת בחירות, מסיימים היועצים המשפטיים של כלל משרדי הממשלה את תפקידם ובמקומם ממונים על ידי הממשל הנבחר (בהליך </w:t>
      </w:r>
      <w:r w:rsidR="00A83BBF" w:rsidRPr="00A83BBF">
        <w:rPr>
          <w:rFonts w:hint="cs"/>
          <w:rtl/>
        </w:rPr>
        <w:t>שאינו</w:t>
      </w:r>
      <w:r w:rsidRPr="00A83BBF">
        <w:rPr>
          <w:rFonts w:hint="cs"/>
          <w:rtl/>
        </w:rPr>
        <w:t xml:space="preserve"> תחרותי) </w:t>
      </w:r>
      <w:r w:rsidR="00A83BBF" w:rsidRPr="00A83BBF">
        <w:rPr>
          <w:rFonts w:hint="cs"/>
          <w:rtl/>
        </w:rPr>
        <w:t xml:space="preserve">פקידים התואמים את השקפתו של הממשל החדש, </w:t>
      </w:r>
      <w:r w:rsidRPr="00A83BBF">
        <w:rPr>
          <w:rFonts w:hint="cs"/>
          <w:rtl/>
        </w:rPr>
        <w:t>זאת מטרה לאפשר לממשל הנבחר לתפקד בצורה טובה וליישם את המדיניות שלשמה נבחר.</w:t>
      </w:r>
    </w:p>
    <w:p w14:paraId="78B3C5BD" w14:textId="4A5501BD" w:rsidR="00CF3ED0" w:rsidRPr="00A83BBF" w:rsidRDefault="00CF3ED0" w:rsidP="00A83BBF">
      <w:pPr>
        <w:pStyle w:val="Hesber"/>
        <w:rPr>
          <w:rtl/>
        </w:rPr>
      </w:pPr>
      <w:r w:rsidRPr="00A83BBF">
        <w:rPr>
          <w:rFonts w:hint="cs"/>
          <w:rtl/>
        </w:rPr>
        <w:t>התפיסה העומדת בבסיס הצעת חוק זו היא שתפקידו של היועץ המשפטי הוא לסייע לשר להגשים את מדיניותו ולהעניק לו את הכלים המשפטיים ה</w:t>
      </w:r>
      <w:r w:rsidR="001B224F" w:rsidRPr="00A83BBF">
        <w:rPr>
          <w:rFonts w:hint="cs"/>
          <w:rtl/>
        </w:rPr>
        <w:t>מתאימים. למטרות פיקוח ובקרה קיימים</w:t>
      </w:r>
      <w:r w:rsidRPr="00A83BBF">
        <w:rPr>
          <w:rFonts w:hint="cs"/>
          <w:rtl/>
        </w:rPr>
        <w:t xml:space="preserve"> גופים אחרים</w:t>
      </w:r>
      <w:r w:rsidR="001B224F" w:rsidRPr="00A83BBF">
        <w:rPr>
          <w:rFonts w:hint="cs"/>
          <w:rtl/>
        </w:rPr>
        <w:t xml:space="preserve"> </w:t>
      </w:r>
      <w:r w:rsidR="001B224F" w:rsidRPr="00A83BBF">
        <w:rPr>
          <w:rtl/>
        </w:rPr>
        <w:t>–</w:t>
      </w:r>
      <w:r w:rsidRPr="00A83BBF">
        <w:rPr>
          <w:rFonts w:hint="cs"/>
          <w:rtl/>
        </w:rPr>
        <w:t xml:space="preserve"> מבקר</w:t>
      </w:r>
      <w:r w:rsidR="001B224F" w:rsidRPr="00A83BBF">
        <w:rPr>
          <w:rFonts w:hint="cs"/>
          <w:rtl/>
        </w:rPr>
        <w:t>י</w:t>
      </w:r>
      <w:r w:rsidRPr="00A83BBF">
        <w:rPr>
          <w:rFonts w:hint="cs"/>
          <w:rtl/>
        </w:rPr>
        <w:t xml:space="preserve"> המשרדים, מבקר הממשלה, בתי המשפט ומערכ</w:t>
      </w:r>
      <w:r w:rsidR="001B224F" w:rsidRPr="00A83BBF">
        <w:rPr>
          <w:rFonts w:hint="cs"/>
          <w:rtl/>
        </w:rPr>
        <w:t>ו</w:t>
      </w:r>
      <w:r w:rsidRPr="00A83BBF">
        <w:rPr>
          <w:rFonts w:hint="cs"/>
          <w:rtl/>
        </w:rPr>
        <w:t>ת</w:t>
      </w:r>
      <w:r w:rsidR="001B224F" w:rsidRPr="00A83BBF">
        <w:rPr>
          <w:rFonts w:hint="cs"/>
          <w:rtl/>
        </w:rPr>
        <w:t xml:space="preserve"> אכיפת</w:t>
      </w:r>
      <w:r w:rsidRPr="00A83BBF">
        <w:rPr>
          <w:rFonts w:hint="cs"/>
          <w:rtl/>
        </w:rPr>
        <w:t xml:space="preserve"> החוק.</w:t>
      </w:r>
    </w:p>
    <w:p w14:paraId="7F6961CB" w14:textId="59F20030" w:rsidR="00E13C27" w:rsidRPr="00A83BBF" w:rsidRDefault="00CF3ED0" w:rsidP="00A83BBF">
      <w:pPr>
        <w:pStyle w:val="Hesber"/>
        <w:rPr>
          <w:rtl/>
        </w:rPr>
      </w:pPr>
      <w:r w:rsidRPr="00A83BBF">
        <w:rPr>
          <w:rFonts w:hint="cs"/>
          <w:rtl/>
        </w:rPr>
        <w:t>הצעת החוק נוסחה בסיוע התנועה למשילות ודמוקרטיה.</w:t>
      </w:r>
    </w:p>
    <w:p w14:paraId="433DE1F6" w14:textId="09549B8D" w:rsidR="00A14FF7" w:rsidRDefault="00A14FF7" w:rsidP="00AF1CF9">
      <w:pPr>
        <w:pStyle w:val="Hesber"/>
        <w:rPr>
          <w:rtl/>
        </w:rPr>
      </w:pPr>
      <w:r w:rsidRPr="00A83BBF">
        <w:rPr>
          <w:rFonts w:hint="cs"/>
          <w:rtl/>
        </w:rPr>
        <w:t xml:space="preserve">הצעת חוק </w:t>
      </w:r>
      <w:r w:rsidR="00AF1CF9">
        <w:rPr>
          <w:rFonts w:hint="cs"/>
          <w:rtl/>
        </w:rPr>
        <w:t>דומה בעיקרה</w:t>
      </w:r>
      <w:r w:rsidRPr="00A83BBF">
        <w:rPr>
          <w:rFonts w:hint="cs"/>
          <w:rtl/>
        </w:rPr>
        <w:t xml:space="preserve"> הונחה על שולחן הכנסת העשרים על ידי חבר הכנסת יואב קיש (</w:t>
      </w:r>
      <w:r w:rsidRPr="00A83BBF">
        <w:rPr>
          <w:rtl/>
        </w:rPr>
        <w:t>פ/3794/20</w:t>
      </w:r>
      <w:r w:rsidRPr="00A83BBF">
        <w:rPr>
          <w:rFonts w:hint="cs"/>
          <w:rtl/>
        </w:rPr>
        <w:t>).</w:t>
      </w:r>
    </w:p>
    <w:p w14:paraId="2648B14E" w14:textId="5A454B46" w:rsidR="004A6D99" w:rsidRDefault="004A6D99" w:rsidP="00AF1CF9">
      <w:pPr>
        <w:pStyle w:val="Hesber"/>
        <w:rPr>
          <w:rtl/>
        </w:rPr>
      </w:pPr>
    </w:p>
    <w:p w14:paraId="1025FBAD" w14:textId="77777777" w:rsidR="004A6D99" w:rsidRDefault="004A6D99" w:rsidP="00AF1CF9">
      <w:pPr>
        <w:pStyle w:val="Hesber"/>
        <w:rPr>
          <w:rtl/>
        </w:rPr>
      </w:pPr>
    </w:p>
    <w:p w14:paraId="54779F8F" w14:textId="77777777" w:rsidR="004A6D99" w:rsidRDefault="004A6D99" w:rsidP="004A6D99">
      <w:pPr>
        <w:pStyle w:val="Hesber"/>
        <w:rPr>
          <w:rtl/>
        </w:rPr>
      </w:pPr>
      <w:r>
        <w:rPr>
          <w:rtl/>
        </w:rPr>
        <w:t>---------------------------------</w:t>
      </w:r>
    </w:p>
    <w:p w14:paraId="0C311163" w14:textId="77777777" w:rsidR="004A6D99" w:rsidRDefault="004A6D99" w:rsidP="004A6D99">
      <w:pPr>
        <w:pStyle w:val="Hesber"/>
        <w:rPr>
          <w:rtl/>
        </w:rPr>
      </w:pPr>
      <w:r>
        <w:rPr>
          <w:rtl/>
        </w:rPr>
        <w:t>הוגשה ליו"ר הכנסת והסגנים</w:t>
      </w:r>
    </w:p>
    <w:p w14:paraId="5174ADAC" w14:textId="77777777" w:rsidR="004A6D99" w:rsidRDefault="004A6D99" w:rsidP="004A6D99">
      <w:pPr>
        <w:pStyle w:val="Hesber"/>
        <w:rPr>
          <w:rtl/>
        </w:rPr>
      </w:pPr>
      <w:r>
        <w:rPr>
          <w:rtl/>
        </w:rPr>
        <w:t>והונחה על שולחן הכנסת ביום</w:t>
      </w:r>
    </w:p>
    <w:p w14:paraId="376C8C0B" w14:textId="04378DDC" w:rsidR="004A6D99" w:rsidRPr="00A83BBF" w:rsidRDefault="004A6D99" w:rsidP="004A6D99">
      <w:pPr>
        <w:pStyle w:val="Hesber"/>
        <w:rPr>
          <w:rtl/>
        </w:rPr>
      </w:pPr>
      <w:r>
        <w:rPr>
          <w:rtl/>
        </w:rPr>
        <w:t>ט"ז באדר התשע"ז - 14.3.17</w:t>
      </w:r>
    </w:p>
    <w:sectPr w:rsidR="004A6D99" w:rsidRPr="00A83BB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A6D99">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97785FB" w14:textId="77777777" w:rsidR="00A14FF7" w:rsidRDefault="00A14FF7" w:rsidP="00A14FF7">
      <w:pPr>
        <w:pStyle w:val="a4"/>
        <w:rPr>
          <w:rtl/>
        </w:rPr>
      </w:pPr>
      <w:r>
        <w:rPr>
          <w:rStyle w:val="a6"/>
        </w:rPr>
        <w:footnoteRef/>
      </w:r>
      <w:r>
        <w:rPr>
          <w:rtl/>
        </w:rPr>
        <w:t xml:space="preserve"> </w:t>
      </w:r>
      <w:r>
        <w:rPr>
          <w:rFonts w:hint="cs"/>
          <w:rtl/>
        </w:rPr>
        <w:t>ס"ח התשי"ט, עמ' 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B224F"/>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A6D99"/>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3E2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86CDD"/>
    <w:rsid w:val="009A0DB8"/>
    <w:rsid w:val="009A7257"/>
    <w:rsid w:val="009D6E0A"/>
    <w:rsid w:val="009E1E33"/>
    <w:rsid w:val="00A14672"/>
    <w:rsid w:val="00A14FF7"/>
    <w:rsid w:val="00A26BD6"/>
    <w:rsid w:val="00A443CF"/>
    <w:rsid w:val="00A6611D"/>
    <w:rsid w:val="00A82CB7"/>
    <w:rsid w:val="00A83BBF"/>
    <w:rsid w:val="00A942C1"/>
    <w:rsid w:val="00AA2F03"/>
    <w:rsid w:val="00AC36F7"/>
    <w:rsid w:val="00AC63A4"/>
    <w:rsid w:val="00AD239E"/>
    <w:rsid w:val="00AF1CF9"/>
    <w:rsid w:val="00B10265"/>
    <w:rsid w:val="00B16A99"/>
    <w:rsid w:val="00B21211"/>
    <w:rsid w:val="00B35784"/>
    <w:rsid w:val="00B733A7"/>
    <w:rsid w:val="00B75C91"/>
    <w:rsid w:val="00B975AD"/>
    <w:rsid w:val="00BC45FB"/>
    <w:rsid w:val="00BF148D"/>
    <w:rsid w:val="00C23B1A"/>
    <w:rsid w:val="00C310EB"/>
    <w:rsid w:val="00C9176A"/>
    <w:rsid w:val="00CF1AA2"/>
    <w:rsid w:val="00CF3ED0"/>
    <w:rsid w:val="00D17774"/>
    <w:rsid w:val="00D63620"/>
    <w:rsid w:val="00D81217"/>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uiPriority w:val="99"/>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uiPriority w:val="99"/>
    <w:rsid w:val="00B975AD"/>
  </w:style>
  <w:style w:type="paragraph" w:customStyle="1" w:styleId="Hesber">
    <w:name w:val="Hesber"/>
    <w:basedOn w:val="a"/>
    <w:uiPriority w:val="99"/>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uiPriority w:val="99"/>
    <w:rsid w:val="00CF3ED0"/>
    <w:rPr>
      <w:rFonts w:ascii="Arial" w:eastAsia="Arial Unicode MS" w:hAnsi="Arial" w:cs="David"/>
      <w:snapToGrid w:val="0"/>
      <w:color w:val="000000"/>
      <w:sz w:val="14"/>
      <w:lang w:eastAsia="ja-JP"/>
    </w:rPr>
  </w:style>
  <w:style w:type="character" w:styleId="Hyperlink">
    <w:name w:val="Hyperlink"/>
    <w:uiPriority w:val="99"/>
    <w:unhideWhenUsed/>
    <w:rsid w:val="00CF3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6FB4-F53C-4313-8820-E30AB487C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D78540B-17E3-4FDD-9FC2-668B22CF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2320</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10</cp:revision>
  <cp:lastPrinted>2017-03-09T10:52:00Z</cp:lastPrinted>
  <dcterms:created xsi:type="dcterms:W3CDTF">2015-04-20T09:58:00Z</dcterms:created>
  <dcterms:modified xsi:type="dcterms:W3CDTF">2017-03-09T10:52:00Z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2013156</vt:r8>
  </property>
</Properties>
</file>