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84986">
      <w:pPr>
        <w:pStyle w:val="a9"/>
        <w:jc w:val="right"/>
        <w:rPr>
          <w:rFonts w:cs="David"/>
          <w:rtl/>
        </w:rPr>
      </w:pPr>
      <w:bookmarkStart w:id="0" w:name="_GoBack"/>
      <w:bookmarkEnd w:id="0"/>
      <w:r>
        <w:rPr>
          <w:rFonts w:cs="David"/>
          <w:b w:val="0"/>
          <w:bCs w:val="0"/>
          <w:sz w:val="24"/>
          <w:szCs w:val="24"/>
          <w:u w:val="none"/>
          <w:rtl/>
        </w:rPr>
        <w:t>שרותי משרד/הצעות חוק/</w:t>
      </w:r>
      <w:r>
        <w:rPr>
          <w:rFonts w:cs="David"/>
          <w:b w:val="0"/>
          <w:bCs w:val="0"/>
          <w:sz w:val="24"/>
          <w:szCs w:val="24"/>
          <w:u w:val="none"/>
        </w:rPr>
        <w:t xml:space="preserve"> </w:t>
      </w:r>
      <w:bookmarkStart w:id="1" w:name="סימוכין"/>
      <w:r>
        <w:rPr>
          <w:rFonts w:cs="David"/>
          <w:b w:val="0"/>
          <w:bCs w:val="0"/>
          <w:sz w:val="24"/>
          <w:szCs w:val="24"/>
          <w:u w:val="none"/>
        </w:rPr>
        <w:fldChar w:fldCharType="begin">
          <w:ffData>
            <w:name w:val="סימוכין"/>
            <w:enabled/>
            <w:calcOnExit w:val="0"/>
            <w:textInput/>
          </w:ffData>
        </w:fldChar>
      </w:r>
      <w:r>
        <w:rPr>
          <w:rFonts w:cs="David"/>
          <w:b w:val="0"/>
          <w:bCs w:val="0"/>
          <w:sz w:val="24"/>
          <w:szCs w:val="24"/>
          <w:u w:val="none"/>
        </w:rPr>
        <w:instrText xml:space="preserve"> FORMTEXT </w:instrText>
      </w:r>
      <w:r>
        <w:rPr>
          <w:rFonts w:cs="David"/>
          <w:b w:val="0"/>
          <w:bCs w:val="0"/>
          <w:sz w:val="24"/>
          <w:szCs w:val="24"/>
          <w:u w:val="none"/>
        </w:rPr>
      </w:r>
      <w:r>
        <w:rPr>
          <w:rFonts w:cs="David"/>
          <w:b w:val="0"/>
          <w:bCs w:val="0"/>
          <w:sz w:val="24"/>
          <w:szCs w:val="24"/>
          <w:u w:val="none"/>
        </w:rPr>
        <w:fldChar w:fldCharType="separate"/>
      </w:r>
      <w:r>
        <w:rPr>
          <w:rFonts w:cs="David"/>
          <w:b w:val="0"/>
          <w:bCs w:val="0"/>
          <w:sz w:val="24"/>
          <w:szCs w:val="24"/>
          <w:u w:val="none"/>
        </w:rPr>
        <w:t>2717604</w:t>
      </w:r>
      <w:r>
        <w:rPr>
          <w:rFonts w:cs="David"/>
          <w:b w:val="0"/>
          <w:bCs w:val="0"/>
          <w:sz w:val="24"/>
          <w:szCs w:val="24"/>
          <w:u w:val="none"/>
        </w:rPr>
        <w:fldChar w:fldCharType="end"/>
      </w:r>
      <w:bookmarkEnd w:id="1"/>
      <w:r>
        <w:rPr>
          <w:rFonts w:cs="David"/>
          <w:b w:val="0"/>
          <w:bCs w:val="0"/>
          <w:sz w:val="24"/>
          <w:szCs w:val="24"/>
          <w:u w:val="none"/>
          <w:rtl/>
        </w:rPr>
        <w:t>/דפ</w:t>
      </w:r>
    </w:p>
    <w:p w:rsidR="00000000" w:rsidRDefault="00184986">
      <w:pPr>
        <w:pStyle w:val="a9"/>
        <w:jc w:val="left"/>
        <w:rPr>
          <w:rFonts w:cs="David"/>
          <w:b w:val="0"/>
          <w:bCs w:val="0"/>
          <w:sz w:val="24"/>
          <w:szCs w:val="24"/>
          <w:u w:val="none"/>
          <w:rtl/>
        </w:rPr>
      </w:pPr>
    </w:p>
    <w:p w:rsidR="00000000" w:rsidRDefault="00184986">
      <w:pPr>
        <w:pStyle w:val="a9"/>
        <w:rPr>
          <w:rFonts w:cs="David"/>
          <w:b w:val="0"/>
          <w:bCs w:val="0"/>
          <w:sz w:val="26"/>
          <w:szCs w:val="26"/>
          <w:u w:val="none"/>
          <w:rtl/>
        </w:rPr>
      </w:pPr>
      <w:r>
        <w:rPr>
          <w:rFonts w:cs="David"/>
          <w:u w:val="none"/>
          <w:rtl/>
        </w:rPr>
        <w:t>הכנסת השש-עשרה</w:t>
      </w:r>
    </w:p>
    <w:p w:rsidR="00000000" w:rsidRDefault="00184986">
      <w:pPr>
        <w:rPr>
          <w:rFonts w:cs="David"/>
          <w:sz w:val="26"/>
          <w:szCs w:val="26"/>
          <w:rtl/>
        </w:rPr>
      </w:pPr>
    </w:p>
    <w:p w:rsidR="00000000" w:rsidRDefault="00184986">
      <w:pPr>
        <w:rPr>
          <w:rFonts w:cs="David"/>
          <w:sz w:val="26"/>
          <w:szCs w:val="26"/>
          <w:rtl/>
        </w:rPr>
      </w:pPr>
    </w:p>
    <w:tbl>
      <w:tblPr>
        <w:bidiVisual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771"/>
      </w:tblGrid>
      <w:tr w:rsidR="00184986" w:rsidTr="00184986">
        <w:tblPrEx>
          <w:tblCellMar>
            <w:top w:w="0" w:type="dxa"/>
            <w:bottom w:w="0" w:type="dxa"/>
          </w:tblCellMar>
        </w:tblPrEx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84986">
            <w:pPr>
              <w:spacing w:after="120"/>
              <w:rPr>
                <w:rFonts w:cs="David"/>
                <w:sz w:val="26"/>
                <w:szCs w:val="26"/>
              </w:rPr>
            </w:pPr>
            <w:r>
              <w:rPr>
                <w:rFonts w:cs="David"/>
                <w:sz w:val="26"/>
                <w:szCs w:val="26"/>
                <w:rtl/>
              </w:rPr>
              <w:t>הצעת</w:t>
            </w:r>
            <w:r>
              <w:rPr>
                <w:rFonts w:cs="David"/>
                <w:sz w:val="26"/>
                <w:szCs w:val="26"/>
              </w:rPr>
              <w:t xml:space="preserve"> </w:t>
            </w:r>
            <w:r>
              <w:rPr>
                <w:rFonts w:cs="David"/>
                <w:sz w:val="26"/>
                <w:szCs w:val="26"/>
                <w:rtl/>
              </w:rPr>
              <w:t>חוק של חבר הכנסת איוב קרא</w:t>
            </w:r>
          </w:p>
        </w:tc>
      </w:tr>
    </w:tbl>
    <w:p w:rsidR="00000000" w:rsidRDefault="00184986">
      <w:pPr>
        <w:jc w:val="center"/>
        <w:rPr>
          <w:rFonts w:cs="David"/>
          <w:sz w:val="32"/>
          <w:szCs w:val="32"/>
          <w:rtl/>
        </w:rPr>
      </w:pP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bookmarkStart w:id="2" w:name="MisHatzaatChok"/>
      <w:r>
        <w:rPr>
          <w:rFonts w:cs="David"/>
          <w:sz w:val="32"/>
          <w:szCs w:val="32"/>
          <w:rtl/>
        </w:rPr>
        <w:fldChar w:fldCharType="begin">
          <w:ffData>
            <w:name w:val="MisHatzaatChok"/>
            <w:enabled/>
            <w:calcOnExit w:val="0"/>
            <w:textInput/>
          </w:ffData>
        </w:fldChar>
      </w:r>
      <w:r>
        <w:rPr>
          <w:rFonts w:cs="David"/>
          <w:sz w:val="32"/>
          <w:szCs w:val="32"/>
          <w:rtl/>
        </w:rPr>
        <w:instrText xml:space="preserve"> </w:instrText>
      </w:r>
      <w:r>
        <w:rPr>
          <w:rFonts w:cs="David"/>
          <w:sz w:val="32"/>
          <w:szCs w:val="32"/>
        </w:rPr>
        <w:instrText>FORMTEXT</w:instrText>
      </w:r>
      <w:r>
        <w:rPr>
          <w:rFonts w:cs="David"/>
          <w:sz w:val="32"/>
          <w:szCs w:val="32"/>
          <w:rtl/>
        </w:rPr>
        <w:instrText xml:space="preserve"> </w:instrText>
      </w:r>
      <w:r>
        <w:rPr>
          <w:rFonts w:cs="David"/>
          <w:sz w:val="32"/>
          <w:szCs w:val="32"/>
          <w:rtl/>
        </w:rPr>
      </w:r>
      <w:r>
        <w:rPr>
          <w:rFonts w:cs="David"/>
          <w:sz w:val="32"/>
          <w:szCs w:val="32"/>
          <w:rtl/>
        </w:rPr>
        <w:fldChar w:fldCharType="separate"/>
      </w:r>
      <w:r>
        <w:rPr>
          <w:rFonts w:cs="David"/>
          <w:sz w:val="32"/>
          <w:szCs w:val="32"/>
          <w:rtl/>
        </w:rPr>
        <w:t>פ/2621</w:t>
      </w:r>
      <w:r>
        <w:rPr>
          <w:rFonts w:cs="David"/>
          <w:sz w:val="32"/>
          <w:szCs w:val="32"/>
          <w:rtl/>
        </w:rPr>
        <w:fldChar w:fldCharType="end"/>
      </w:r>
      <w:bookmarkEnd w:id="2"/>
    </w:p>
    <w:p w:rsidR="00000000" w:rsidRDefault="00184986">
      <w:pPr>
        <w:rPr>
          <w:rFonts w:cs="David"/>
          <w:sz w:val="26"/>
          <w:szCs w:val="26"/>
          <w:rtl/>
        </w:rPr>
      </w:pPr>
    </w:p>
    <w:p w:rsidR="00000000" w:rsidRDefault="00184986">
      <w:pPr>
        <w:rPr>
          <w:rFonts w:cs="David"/>
          <w:sz w:val="26"/>
          <w:szCs w:val="26"/>
          <w:rtl/>
        </w:rPr>
      </w:pPr>
    </w:p>
    <w:bookmarkStart w:id="3" w:name="Title"/>
    <w:p w:rsidR="00000000" w:rsidRDefault="00184986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fldChar w:fldCharType="begin">
          <w:ffData>
            <w:name w:val="Title"/>
            <w:enabled/>
            <w:calcOnExit w:val="0"/>
            <w:textInput/>
          </w:ffData>
        </w:fldChar>
      </w:r>
      <w:r>
        <w:rPr>
          <w:rFonts w:cs="David"/>
          <w:b/>
          <w:bCs/>
          <w:sz w:val="28"/>
          <w:szCs w:val="28"/>
          <w:rtl/>
        </w:rPr>
        <w:instrText xml:space="preserve"> </w:instrText>
      </w:r>
      <w:r>
        <w:rPr>
          <w:rFonts w:cs="David"/>
          <w:b/>
          <w:bCs/>
          <w:sz w:val="28"/>
          <w:szCs w:val="28"/>
        </w:rPr>
        <w:instrText>FORMTEXT</w:instrText>
      </w:r>
      <w:r>
        <w:rPr>
          <w:rFonts w:cs="David"/>
          <w:b/>
          <w:bCs/>
          <w:sz w:val="28"/>
          <w:szCs w:val="28"/>
          <w:rtl/>
        </w:rPr>
        <w:instrText xml:space="preserve"> </w:instrText>
      </w:r>
      <w:r>
        <w:rPr>
          <w:rFonts w:cs="David"/>
          <w:b/>
          <w:bCs/>
          <w:sz w:val="28"/>
          <w:szCs w:val="28"/>
          <w:rtl/>
        </w:rPr>
      </w:r>
      <w:r>
        <w:rPr>
          <w:rFonts w:cs="David"/>
          <w:b/>
          <w:bCs/>
          <w:sz w:val="28"/>
          <w:szCs w:val="28"/>
          <w:rtl/>
        </w:rPr>
        <w:fldChar w:fldCharType="separate"/>
      </w:r>
      <w:r>
        <w:rPr>
          <w:rFonts w:cs="David"/>
          <w:b/>
          <w:bCs/>
          <w:sz w:val="28"/>
          <w:szCs w:val="28"/>
          <w:rtl/>
        </w:rPr>
        <w:t>הצעת חוק העונשין (עונש מ</w:t>
      </w:r>
      <w:r>
        <w:rPr>
          <w:rFonts w:cs="David"/>
          <w:b/>
          <w:bCs/>
          <w:sz w:val="28"/>
          <w:szCs w:val="28"/>
          <w:rtl/>
        </w:rPr>
        <w:t>וות על רוצחי אנשי ציבור שנרצחו בשל תפקידם בלבד), התשס"ד-2004</w:t>
      </w:r>
      <w:r>
        <w:rPr>
          <w:rFonts w:cs="David"/>
          <w:b/>
          <w:bCs/>
          <w:sz w:val="28"/>
          <w:szCs w:val="28"/>
          <w:rtl/>
        </w:rPr>
        <w:fldChar w:fldCharType="end"/>
      </w:r>
      <w:bookmarkEnd w:id="3"/>
    </w:p>
    <w:p w:rsidR="00000000" w:rsidRDefault="00184986">
      <w:pPr>
        <w:rPr>
          <w:rFonts w:cs="David"/>
          <w:sz w:val="26"/>
          <w:szCs w:val="26"/>
          <w:rtl/>
        </w:rPr>
      </w:pPr>
    </w:p>
    <w:p w:rsidR="00000000" w:rsidRDefault="00184986">
      <w:pPr>
        <w:rPr>
          <w:rFonts w:cs="David"/>
          <w:sz w:val="26"/>
          <w:szCs w:val="26"/>
        </w:rPr>
      </w:pPr>
    </w:p>
    <w:tbl>
      <w:tblPr>
        <w:bidiVisual/>
        <w:tblW w:w="0" w:type="auto"/>
        <w:jc w:val="righ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5"/>
        <w:gridCol w:w="684"/>
        <w:gridCol w:w="565"/>
        <w:gridCol w:w="5936"/>
      </w:tblGrid>
      <w:tr w:rsidR="00184986" w:rsidTr="00184986">
        <w:trPr>
          <w:jc w:val="right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84986" w:rsidRDefault="00184986">
            <w:pPr>
              <w:spacing w:after="120"/>
              <w:rPr>
                <w:rFonts w:cs="David"/>
                <w:sz w:val="26"/>
                <w:szCs w:val="26"/>
              </w:rPr>
            </w:pPr>
            <w:r>
              <w:rPr>
                <w:rFonts w:cs="David"/>
                <w:sz w:val="26"/>
                <w:szCs w:val="26"/>
                <w:rtl/>
              </w:rPr>
              <w:t>תיקון   סעיף 300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84986" w:rsidRDefault="00184986">
            <w:pPr>
              <w:spacing w:after="120"/>
              <w:rPr>
                <w:rFonts w:cs="David"/>
                <w:sz w:val="26"/>
                <w:szCs w:val="26"/>
              </w:rPr>
            </w:pPr>
            <w:r>
              <w:rPr>
                <w:rFonts w:cs="David"/>
                <w:sz w:val="26"/>
                <w:szCs w:val="26"/>
                <w:rtl/>
              </w:rPr>
              <w:t>1.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986" w:rsidRDefault="00184986">
            <w:pPr>
              <w:spacing w:after="120"/>
              <w:jc w:val="both"/>
              <w:rPr>
                <w:rFonts w:cs="David"/>
                <w:sz w:val="26"/>
                <w:szCs w:val="26"/>
              </w:rPr>
            </w:pPr>
            <w:r>
              <w:rPr>
                <w:rFonts w:cs="David"/>
                <w:sz w:val="26"/>
                <w:szCs w:val="26"/>
                <w:rtl/>
              </w:rPr>
              <w:t>בחוק העונשין, התשל"ז-1977</w:t>
            </w:r>
            <w:r>
              <w:rPr>
                <w:rStyle w:val="a8"/>
                <w:rFonts w:cs="David"/>
                <w:sz w:val="26"/>
                <w:szCs w:val="26"/>
                <w:rtl/>
              </w:rPr>
              <w:footnoteReference w:id="1"/>
            </w:r>
            <w:r>
              <w:rPr>
                <w:rFonts w:cs="David"/>
                <w:sz w:val="26"/>
                <w:szCs w:val="26"/>
                <w:rtl/>
              </w:rPr>
              <w:t xml:space="preserve">, בסעיף 300, אחרי סעיף קטן (ב) יבוא: </w:t>
            </w:r>
          </w:p>
        </w:tc>
      </w:tr>
      <w:tr w:rsidR="00184986" w:rsidTr="00184986">
        <w:trPr>
          <w:cantSplit/>
          <w:jc w:val="right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84986" w:rsidRDefault="00184986">
            <w:pPr>
              <w:spacing w:after="120"/>
              <w:rPr>
                <w:rFonts w:cs="David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84986" w:rsidRDefault="00184986">
            <w:pPr>
              <w:spacing w:after="120"/>
              <w:rPr>
                <w:rFonts w:cs="David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4986" w:rsidRDefault="00184986">
            <w:pPr>
              <w:spacing w:after="120"/>
              <w:rPr>
                <w:rFonts w:cs="David"/>
                <w:sz w:val="26"/>
                <w:szCs w:val="26"/>
              </w:rPr>
            </w:pPr>
            <w:r>
              <w:rPr>
                <w:rFonts w:cs="David"/>
                <w:sz w:val="26"/>
                <w:szCs w:val="26"/>
                <w:rtl/>
              </w:rPr>
              <w:t>"(ג)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84986" w:rsidRDefault="00184986">
            <w:pPr>
              <w:spacing w:after="120"/>
              <w:jc w:val="both"/>
              <w:rPr>
                <w:rFonts w:cs="David"/>
                <w:sz w:val="26"/>
                <w:szCs w:val="26"/>
              </w:rPr>
            </w:pPr>
            <w:r>
              <w:rPr>
                <w:rFonts w:cs="David"/>
                <w:sz w:val="26"/>
                <w:szCs w:val="26"/>
                <w:rtl/>
              </w:rPr>
              <w:t>"אדם הממלא תפקיד ציבורי בכיר, ונרצח בעת מילוי תפקידו על רקע תפקידו בלבד, דינו – מיתה."</w:t>
            </w:r>
          </w:p>
        </w:tc>
      </w:tr>
    </w:tbl>
    <w:p w:rsidR="00000000" w:rsidRDefault="00184986">
      <w:pPr>
        <w:rPr>
          <w:rFonts w:cs="David"/>
          <w:sz w:val="26"/>
          <w:szCs w:val="26"/>
          <w:rtl/>
        </w:rPr>
      </w:pPr>
    </w:p>
    <w:p w:rsidR="00000000" w:rsidRDefault="00184986">
      <w:pPr>
        <w:jc w:val="both"/>
        <w:rPr>
          <w:rFonts w:cs="David"/>
          <w:sz w:val="26"/>
          <w:szCs w:val="26"/>
          <w:rtl/>
        </w:rPr>
      </w:pPr>
    </w:p>
    <w:p w:rsidR="00000000" w:rsidRDefault="00184986">
      <w:pPr>
        <w:jc w:val="center"/>
        <w:rPr>
          <w:rFonts w:cs="David"/>
          <w:sz w:val="26"/>
          <w:szCs w:val="26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>דברי - הסבר</w:t>
      </w:r>
    </w:p>
    <w:p w:rsidR="00000000" w:rsidRDefault="00184986">
      <w:pPr>
        <w:jc w:val="both"/>
        <w:rPr>
          <w:rFonts w:cs="David"/>
          <w:sz w:val="26"/>
          <w:szCs w:val="26"/>
          <w:rtl/>
        </w:rPr>
      </w:pPr>
    </w:p>
    <w:p w:rsidR="00000000" w:rsidRDefault="00184986">
      <w:pPr>
        <w:jc w:val="both"/>
        <w:rPr>
          <w:rFonts w:cs="David"/>
          <w:sz w:val="26"/>
          <w:szCs w:val="26"/>
          <w:rtl/>
        </w:rPr>
      </w:pPr>
    </w:p>
    <w:p w:rsidR="00000000" w:rsidRDefault="00184986">
      <w:pPr>
        <w:jc w:val="both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בעקבות רצח ראש הממשלה לשעבר, יצחק רבין, ושופט המחוזי, עדי אזר, מוצע שבמדינת ישראל יוטל עונש מוות במקרה של רצח אנשי ציבור שנרצחו על רקע תפקידם בלבד.</w:t>
      </w:r>
    </w:p>
    <w:p w:rsidR="00000000" w:rsidRDefault="00184986">
      <w:pPr>
        <w:jc w:val="both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הצעה זו באה למ</w:t>
      </w:r>
      <w:r>
        <w:rPr>
          <w:rFonts w:cs="David"/>
          <w:sz w:val="26"/>
          <w:szCs w:val="26"/>
          <w:rtl/>
        </w:rPr>
        <w:t xml:space="preserve">נוע קריסה טוטאלית והידרדרות חברתית אל תהום של מוסדות המדינה והחברה בישראל וכן מצב של אנרכיה שבו מהר מאוד נאבד שליטה ויהיה לנו קשה לחיות בארץ חיים תקינים ונורמליים. </w:t>
      </w:r>
    </w:p>
    <w:p w:rsidR="00000000" w:rsidRDefault="00184986">
      <w:pPr>
        <w:jc w:val="both"/>
        <w:rPr>
          <w:rFonts w:cs="David"/>
          <w:sz w:val="26"/>
          <w:szCs w:val="26"/>
          <w:rtl/>
        </w:rPr>
      </w:pPr>
    </w:p>
    <w:p w:rsidR="00000000" w:rsidRDefault="00184986">
      <w:pPr>
        <w:jc w:val="both"/>
        <w:rPr>
          <w:rFonts w:cs="David"/>
          <w:sz w:val="26"/>
          <w:szCs w:val="26"/>
          <w:rtl/>
        </w:rPr>
      </w:pPr>
    </w:p>
    <w:p w:rsidR="00000000" w:rsidRDefault="00184986">
      <w:pPr>
        <w:jc w:val="both"/>
        <w:rPr>
          <w:rFonts w:cs="David"/>
          <w:sz w:val="26"/>
          <w:szCs w:val="26"/>
          <w:rtl/>
        </w:rPr>
      </w:pPr>
    </w:p>
    <w:p w:rsidR="00000000" w:rsidRDefault="00184986">
      <w:pPr>
        <w:jc w:val="both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---------------------------------</w:t>
      </w:r>
    </w:p>
    <w:p w:rsidR="00000000" w:rsidRDefault="00184986">
      <w:pPr>
        <w:jc w:val="both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הוגשה ליו"ר הכנסת והסגנים</w:t>
      </w:r>
    </w:p>
    <w:p w:rsidR="00000000" w:rsidRDefault="00184986">
      <w:pPr>
        <w:jc w:val="both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והונחה על שולחן הכנסת ביום</w:t>
      </w:r>
    </w:p>
    <w:p w:rsidR="00000000" w:rsidRDefault="00184986">
      <w:pPr>
        <w:jc w:val="both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י</w:t>
      </w:r>
      <w:r>
        <w:rPr>
          <w:rFonts w:cs="David"/>
          <w:sz w:val="26"/>
          <w:szCs w:val="26"/>
          <w:rtl/>
        </w:rPr>
        <w:t>"ז באב התשס"ד - 4.8.2004</w:t>
      </w:r>
    </w:p>
    <w:sectPr w:rsidR="00000000">
      <w:headerReference w:type="default" r:id="rId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4986">
      <w:r>
        <w:separator/>
      </w:r>
    </w:p>
  </w:endnote>
  <w:endnote w:type="continuationSeparator" w:id="0">
    <w:p w:rsidR="00000000" w:rsidRDefault="0018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4986">
      <w:r>
        <w:separator/>
      </w:r>
    </w:p>
  </w:footnote>
  <w:footnote w:type="continuationSeparator" w:id="0">
    <w:p w:rsidR="00000000" w:rsidRDefault="00184986">
      <w:r>
        <w:continuationSeparator/>
      </w:r>
    </w:p>
  </w:footnote>
  <w:footnote w:id="1">
    <w:p w:rsidR="00184986" w:rsidRDefault="0018498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tl/>
        </w:rPr>
        <w:t>ס"ח התשל"ז, עמ' 226.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84986">
    <w:pPr>
      <w:pStyle w:val="ab"/>
      <w:framePr w:wrap="auto" w:vAnchor="text" w:hAnchor="margin" w:xAlign="center" w:y="1"/>
      <w:rPr>
        <w:rStyle w:val="ad"/>
        <w:rtl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rtl/>
      </w:rPr>
      <w:t>2</w:t>
    </w:r>
    <w:r>
      <w:rPr>
        <w:rStyle w:val="ad"/>
      </w:rPr>
      <w:fldChar w:fldCharType="end"/>
    </w:r>
  </w:p>
  <w:p w:rsidR="00000000" w:rsidRDefault="00184986">
    <w:pPr>
      <w:pStyle w:val="ab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tryID" w:val=" "/>
    <w:docVar w:name="NewDocument" w:val="True"/>
    <w:docVar w:name="StoreID" w:val=" "/>
  </w:docVars>
  <w:rsids>
    <w:rsidRoot w:val="00184986"/>
    <w:rsid w:val="001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0DDEF09-8436-4F64-8FF4-D4B0BA20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0" w:line="240" w:lineRule="auto"/>
    </w:pPr>
    <w:rPr>
      <w:rFonts w:ascii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he-IL"/>
    </w:rPr>
  </w:style>
  <w:style w:type="character" w:styleId="a3">
    <w:name w:val="annotation reference"/>
    <w:basedOn w:val="a0"/>
    <w:uiPriority w:val="9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Pr>
      <w:rFonts w:ascii="Times New Roman" w:hAnsi="Times New Roman" w:cs="Times New Roman"/>
      <w:sz w:val="20"/>
      <w:szCs w:val="20"/>
      <w:lang w:eastAsia="he-IL"/>
    </w:rPr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semiHidden/>
    <w:rPr>
      <w:rFonts w:ascii="Times New Roman" w:hAnsi="Times New Roman" w:cs="Times New Roman"/>
      <w:sz w:val="20"/>
      <w:szCs w:val="20"/>
      <w:lang w:eastAsia="he-IL"/>
    </w:rPr>
  </w:style>
  <w:style w:type="character" w:styleId="a8">
    <w:name w:val="footnote reference"/>
    <w:basedOn w:val="a0"/>
    <w:uiPriority w:val="99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pPr>
      <w:jc w:val="center"/>
    </w:pPr>
    <w:rPr>
      <w:rFonts w:eastAsia="Times New Roman"/>
      <w:b/>
      <w:bCs/>
      <w:sz w:val="28"/>
      <w:szCs w:val="28"/>
      <w:u w:val="single"/>
    </w:rPr>
  </w:style>
  <w:style w:type="character" w:customStyle="1" w:styleId="aa">
    <w:name w:val="כותרת טקסט תו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semiHidden/>
    <w:rPr>
      <w:rFonts w:ascii="Times New Roman" w:hAnsi="Times New Roman" w:cs="Times New Roman"/>
      <w:sz w:val="24"/>
      <w:szCs w:val="24"/>
      <w:lang w:eastAsia="he-IL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semiHidden/>
    <w:rPr>
      <w:rFonts w:ascii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A50981437779E428456932B2A638612" ma:contentTypeVersion="" ma:contentTypeDescription="צור מסמך חדש." ma:contentTypeScope="" ma:versionID="2df30a1b375d11bf545563b3a08682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5a2728251a2ce93c0626b1f2c5b5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659ED-A393-4937-A0FE-DFC4F9F8BD0D}"/>
</file>

<file path=customXml/itemProps2.xml><?xml version="1.0" encoding="utf-8"?>
<ds:datastoreItem xmlns:ds="http://schemas.openxmlformats.org/officeDocument/2006/customXml" ds:itemID="{8FE5A23B-D39A-42FF-89E9-4E8F96EBB6A6}"/>
</file>

<file path=customXml/itemProps3.xml><?xml version="1.0" encoding="utf-8"?>
<ds:datastoreItem xmlns:ds="http://schemas.openxmlformats.org/officeDocument/2006/customXml" ds:itemID="{D9A331CC-41BB-4D02-A1BB-315F725BB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הצעת חוק העונשין (עונש מוות על רוצחי אנשי ציבור שנרצחו בשל תפקידם בלבד), התשס"ד-2004</vt:lpstr>
    </vt:vector>
  </TitlesOfParts>
  <Company>knesset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הצעת חוק העונשין (עונש מוות על רוצחי אנשי ציבור שנרצחו בשל תפקידם בלבד), התשס"ד-2004</dc:title>
  <dc:subject/>
  <dc:creator>דפנה גבריאל</dc:creator>
  <cp:keywords/>
  <dc:description/>
  <cp:lastModifiedBy>אינדה נובומינסקי</cp:lastModifiedBy>
  <cp:revision>2</cp:revision>
  <dcterms:created xsi:type="dcterms:W3CDTF">2019-10-02T06:26:00Z</dcterms:created>
  <dcterms:modified xsi:type="dcterms:W3CDTF">2019-10-02T06:26:00Z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brewDate">
    <vt:lpwstr>ט"ו באב, התשס"ד</vt:lpwstr>
  </property>
  <property fmtid="{D5CDD505-2E9C-101B-9397-08002B2CF9AE}" pid="3" name="KodTemplate">
    <vt:i4>17</vt:i4>
  </property>
  <property fmtid="{D5CDD505-2E9C-101B-9397-08002B2CF9AE}" pid="4" name="MechaberMismach">
    <vt:lpwstr>דפנה גבריאל</vt:lpwstr>
  </property>
  <property fmtid="{D5CDD505-2E9C-101B-9397-08002B2CF9AE}" pid="5" name="MisHatzaatChok">
    <vt:lpwstr>פ/2621</vt:lpwstr>
  </property>
  <property fmtid="{D5CDD505-2E9C-101B-9397-08002B2CF9AE}" pid="6" name="Nose">
    <vt:lpwstr>':שרותי משרד:כנסת 16:הצעות חוק פרטיות:מושב שני-הצח"פ(מ-1487)'_x000d__x000d_</vt:lpwstr>
  </property>
  <property fmtid="{D5CDD505-2E9C-101B-9397-08002B2CF9AE}" pid="7" name="YozemHatzaa_ChakList">
    <vt:lpwstr>איוב קרא</vt:lpwstr>
  </property>
  <property fmtid="{D5CDD505-2E9C-101B-9397-08002B2CF9AE}" pid="8" name="סימוכין">
    <vt:i4>2717604</vt:i4>
  </property>
  <property fmtid="{D5CDD505-2E9C-101B-9397-08002B2CF9AE}" pid="9" name="תאריך המסמך">
    <vt:filetime>2004-02-07T21:00:00Z</vt:filetime>
  </property>
  <property fmtid="{D5CDD505-2E9C-101B-9397-08002B2CF9AE}" pid="10" name="ContentTypeId">
    <vt:lpwstr>0x0101003A50981437779E428456932B2A638612</vt:lpwstr>
  </property>
  <property fmtid="{D5CDD505-2E9C-101B-9397-08002B2CF9AE}" pid="11" name="SanhedrinItemID">
    <vt:r8>30646</vt:r8>
  </property>
  <property fmtid="{D5CDD505-2E9C-101B-9397-08002B2CF9AE}" pid="12" name="SanhedrinDocumentType">
    <vt:r8>210</vt:r8>
  </property>
</Properties>
</file>