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2086043</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קרן ברק</w:t>
      </w:r>
      <w:bookmarkEnd w:id="3"/>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10B9B00E" w:rsidR="00E13C27" w:rsidRPr="00E06736" w:rsidRDefault="00904591" w:rsidP="00E91806">
      <w:pPr>
        <w:pStyle w:val="David"/>
        <w:spacing w:line="240" w:lineRule="auto"/>
        <w:ind w:left="6424" w:firstLine="56"/>
        <w:rPr>
          <w:rtl/>
        </w:rPr>
      </w:pPr>
      <w:bookmarkStart w:id="4" w:name="Private_Number"/>
      <w:r>
        <w:rPr>
          <w:rFonts w:hint="cs"/>
          <w:rtl/>
        </w:rPr>
        <w:t>פ/786/23</w:t>
      </w:r>
      <w:bookmarkEnd w:id="4"/>
    </w:p>
    <w:p w14:paraId="7F6961AC" w14:textId="77777777" w:rsidR="00E13C27" w:rsidRDefault="00E13C27" w:rsidP="00E13C27">
      <w:pPr>
        <w:ind w:left="2880" w:firstLine="720"/>
        <w:rPr>
          <w:sz w:val="26"/>
          <w:szCs w:val="26"/>
          <w:rtl/>
        </w:rPr>
      </w:pPr>
    </w:p>
    <w:p w14:paraId="7F6961AD" w14:textId="22621D95" w:rsidR="00E13C27" w:rsidRPr="00F67051" w:rsidRDefault="00A443CF" w:rsidP="00122516">
      <w:pPr>
        <w:pStyle w:val="HeadHatzaotHok"/>
        <w:rPr>
          <w:rtl/>
        </w:rPr>
      </w:pPr>
      <w:bookmarkStart w:id="5" w:name="LGS_Subject"/>
      <w:r>
        <w:rPr>
          <w:rFonts w:hint="cs"/>
          <w:rtl/>
        </w:rPr>
        <w:t>הצעת חוק העונשין (תיקון – איסור מתן טיפול המרה לקטין), התש"ף</w:t>
      </w:r>
      <w:r w:rsidR="00122516">
        <w:rPr>
          <w:rFonts w:hint="eastAsia"/>
          <w:rtl/>
        </w:rPr>
        <w:t>–</w:t>
      </w:r>
      <w:bookmarkStart w:id="6" w:name="_GoBack"/>
      <w:bookmarkEnd w:id="6"/>
      <w:r>
        <w:rPr>
          <w:rFonts w:hint="cs"/>
          <w:rtl/>
        </w:rPr>
        <w:t>2020</w:t>
      </w:r>
      <w:bookmarkEnd w:id="5"/>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47"/>
      </w:tblGrid>
      <w:tr w:rsidR="005C7D30" w:rsidRPr="00122B6F" w14:paraId="5BCA9E81" w14:textId="77777777" w:rsidTr="0003168A">
        <w:trPr>
          <w:cantSplit/>
        </w:trPr>
        <w:tc>
          <w:tcPr>
            <w:tcW w:w="1871" w:type="dxa"/>
          </w:tcPr>
          <w:p w14:paraId="331EAAA2" w14:textId="77777777" w:rsidR="005C7D30" w:rsidRDefault="005C7D30" w:rsidP="00881C2C">
            <w:pPr>
              <w:pStyle w:val="TableSideHeading"/>
              <w:keepLines w:val="0"/>
            </w:pPr>
            <w:r w:rsidRPr="00122B6F">
              <w:rPr>
                <w:rFonts w:hint="cs"/>
                <w:rtl/>
              </w:rPr>
              <w:t>הוספת סעיף 368א1</w:t>
            </w:r>
          </w:p>
        </w:tc>
        <w:tc>
          <w:tcPr>
            <w:tcW w:w="624" w:type="dxa"/>
          </w:tcPr>
          <w:p w14:paraId="3A84C625" w14:textId="77777777" w:rsidR="005C7D30" w:rsidRDefault="005C7D30" w:rsidP="00881C2C">
            <w:pPr>
              <w:pStyle w:val="TableText"/>
              <w:keepLines w:val="0"/>
            </w:pPr>
            <w:r w:rsidRPr="00122B6F">
              <w:rPr>
                <w:rtl/>
              </w:rPr>
              <w:t>1.</w:t>
            </w:r>
          </w:p>
        </w:tc>
        <w:tc>
          <w:tcPr>
            <w:tcW w:w="7143" w:type="dxa"/>
            <w:gridSpan w:val="5"/>
          </w:tcPr>
          <w:p w14:paraId="12B24340" w14:textId="77777777" w:rsidR="005C7D30" w:rsidRPr="00122B6F" w:rsidRDefault="005C7D30" w:rsidP="00E91806">
            <w:pPr>
              <w:pStyle w:val="TableBlock"/>
              <w:rPr>
                <w:b/>
                <w:bCs/>
              </w:rPr>
            </w:pPr>
            <w:r w:rsidRPr="00122B6F">
              <w:rPr>
                <w:rtl/>
              </w:rPr>
              <w:t xml:space="preserve">בחוק </w:t>
            </w:r>
            <w:r w:rsidRPr="00122B6F">
              <w:rPr>
                <w:rFonts w:hint="cs"/>
                <w:rtl/>
              </w:rPr>
              <w:t>העונשין, התשל"ז</w:t>
            </w:r>
            <w:r w:rsidRPr="00122B6F">
              <w:rPr>
                <w:rFonts w:hint="eastAsia"/>
                <w:rtl/>
              </w:rPr>
              <w:t>–</w:t>
            </w:r>
            <w:r>
              <w:rPr>
                <w:rFonts w:hint="cs"/>
                <w:rtl/>
              </w:rPr>
              <w:t>1977</w:t>
            </w:r>
            <w:r w:rsidRPr="0003168A">
              <w:rPr>
                <w:rStyle w:val="a5"/>
                <w:rFonts w:ascii="David" w:hAnsi="David"/>
                <w:sz w:val="26"/>
                <w:rtl/>
              </w:rPr>
              <w:footnoteReference w:id="2"/>
            </w:r>
            <w:r>
              <w:rPr>
                <w:rFonts w:hint="cs"/>
                <w:rtl/>
              </w:rPr>
              <w:t>,</w:t>
            </w:r>
            <w:r w:rsidRPr="00122B6F">
              <w:rPr>
                <w:rFonts w:hint="cs"/>
                <w:rtl/>
              </w:rPr>
              <w:t xml:space="preserve"> אחרי סעיף 368א יבוא:</w:t>
            </w:r>
          </w:p>
        </w:tc>
      </w:tr>
      <w:tr w:rsidR="005C7D30" w14:paraId="5729ACD8" w14:textId="77777777" w:rsidTr="0003168A">
        <w:trPr>
          <w:cantSplit/>
        </w:trPr>
        <w:tc>
          <w:tcPr>
            <w:tcW w:w="1871" w:type="dxa"/>
          </w:tcPr>
          <w:p w14:paraId="072F93CF" w14:textId="77777777" w:rsidR="005C7D30" w:rsidRDefault="005C7D30" w:rsidP="00881C2C">
            <w:pPr>
              <w:pStyle w:val="TableSideHeading"/>
              <w:keepLines w:val="0"/>
            </w:pPr>
          </w:p>
        </w:tc>
        <w:tc>
          <w:tcPr>
            <w:tcW w:w="624" w:type="dxa"/>
          </w:tcPr>
          <w:p w14:paraId="4746109D" w14:textId="77777777" w:rsidR="005C7D30" w:rsidRDefault="005C7D30" w:rsidP="00881C2C">
            <w:pPr>
              <w:pStyle w:val="TableText"/>
              <w:keepLines w:val="0"/>
            </w:pPr>
          </w:p>
        </w:tc>
        <w:tc>
          <w:tcPr>
            <w:tcW w:w="1872" w:type="dxa"/>
            <w:gridSpan w:val="3"/>
          </w:tcPr>
          <w:p w14:paraId="65F83B83" w14:textId="77777777" w:rsidR="005C7D30" w:rsidRDefault="005C7D30" w:rsidP="00881C2C">
            <w:pPr>
              <w:pStyle w:val="TableInnerSideHeading"/>
            </w:pPr>
            <w:r>
              <w:rPr>
                <w:rFonts w:hint="cs"/>
                <w:sz w:val="26"/>
                <w:rtl/>
              </w:rPr>
              <w:t>"איסור מתן טיפול המרה לקטין</w:t>
            </w:r>
          </w:p>
        </w:tc>
        <w:tc>
          <w:tcPr>
            <w:tcW w:w="624" w:type="dxa"/>
          </w:tcPr>
          <w:p w14:paraId="7F1000AE" w14:textId="77777777" w:rsidR="005C7D30" w:rsidRPr="00014ECF" w:rsidRDefault="005C7D30" w:rsidP="00881C2C">
            <w:pPr>
              <w:pStyle w:val="TableText"/>
              <w:rPr>
                <w:spacing w:val="-20"/>
              </w:rPr>
            </w:pPr>
            <w:r w:rsidRPr="00014ECF">
              <w:rPr>
                <w:rFonts w:hint="cs"/>
                <w:spacing w:val="-20"/>
                <w:sz w:val="26"/>
                <w:rtl/>
              </w:rPr>
              <w:t>368א1</w:t>
            </w:r>
            <w:r w:rsidRPr="00014ECF">
              <w:rPr>
                <w:rFonts w:hint="cs"/>
                <w:spacing w:val="-20"/>
                <w:rtl/>
              </w:rPr>
              <w:t>.</w:t>
            </w:r>
          </w:p>
        </w:tc>
        <w:tc>
          <w:tcPr>
            <w:tcW w:w="4647" w:type="dxa"/>
          </w:tcPr>
          <w:p w14:paraId="23F7093A" w14:textId="77777777" w:rsidR="005C7D30" w:rsidRDefault="005C7D30" w:rsidP="0003168A">
            <w:pPr>
              <w:pStyle w:val="TableBlock"/>
            </w:pPr>
            <w:r>
              <w:rPr>
                <w:rFonts w:hint="cs"/>
                <w:rtl/>
              </w:rPr>
              <w:t>(א)</w:t>
            </w:r>
            <w:r>
              <w:rPr>
                <w:rtl/>
              </w:rPr>
              <w:tab/>
            </w:r>
            <w:r>
              <w:rPr>
                <w:rFonts w:hint="cs"/>
                <w:sz w:val="26"/>
                <w:rtl/>
              </w:rPr>
              <w:t xml:space="preserve">הנותן טיפול המרה לקטין, דינו </w:t>
            </w:r>
            <w:r>
              <w:rPr>
                <w:sz w:val="26"/>
                <w:rtl/>
              </w:rPr>
              <w:t>–</w:t>
            </w:r>
            <w:r>
              <w:rPr>
                <w:rFonts w:hint="cs"/>
                <w:sz w:val="26"/>
                <w:rtl/>
              </w:rPr>
              <w:t xml:space="preserve"> מאסר שנה</w:t>
            </w:r>
            <w:r>
              <w:rPr>
                <w:rFonts w:hint="cs"/>
                <w:rtl/>
              </w:rPr>
              <w:t>.</w:t>
            </w:r>
          </w:p>
        </w:tc>
      </w:tr>
      <w:tr w:rsidR="005C7D30" w14:paraId="4456477B" w14:textId="77777777" w:rsidTr="0003168A">
        <w:trPr>
          <w:cantSplit/>
        </w:trPr>
        <w:tc>
          <w:tcPr>
            <w:tcW w:w="1871" w:type="dxa"/>
          </w:tcPr>
          <w:p w14:paraId="74D8ABD7" w14:textId="77777777" w:rsidR="005C7D30" w:rsidRDefault="005C7D30" w:rsidP="00881C2C">
            <w:pPr>
              <w:pStyle w:val="TableSideHeading"/>
            </w:pPr>
          </w:p>
        </w:tc>
        <w:tc>
          <w:tcPr>
            <w:tcW w:w="624" w:type="dxa"/>
          </w:tcPr>
          <w:p w14:paraId="37453AFC" w14:textId="77777777" w:rsidR="005C7D30" w:rsidRDefault="005C7D30" w:rsidP="00881C2C">
            <w:pPr>
              <w:pStyle w:val="TableText"/>
            </w:pPr>
          </w:p>
        </w:tc>
        <w:tc>
          <w:tcPr>
            <w:tcW w:w="624" w:type="dxa"/>
          </w:tcPr>
          <w:p w14:paraId="75F4B454" w14:textId="77777777" w:rsidR="005C7D30" w:rsidRDefault="005C7D30" w:rsidP="00881C2C">
            <w:pPr>
              <w:pStyle w:val="TableText"/>
            </w:pPr>
          </w:p>
        </w:tc>
        <w:tc>
          <w:tcPr>
            <w:tcW w:w="624" w:type="dxa"/>
          </w:tcPr>
          <w:p w14:paraId="47B6F21A" w14:textId="77777777" w:rsidR="005C7D30" w:rsidRDefault="005C7D30" w:rsidP="00881C2C">
            <w:pPr>
              <w:pStyle w:val="TableText"/>
            </w:pPr>
          </w:p>
        </w:tc>
        <w:tc>
          <w:tcPr>
            <w:tcW w:w="624" w:type="dxa"/>
          </w:tcPr>
          <w:p w14:paraId="5072A563" w14:textId="77777777" w:rsidR="005C7D30" w:rsidRDefault="005C7D30" w:rsidP="00881C2C">
            <w:pPr>
              <w:pStyle w:val="TableText"/>
            </w:pPr>
          </w:p>
        </w:tc>
        <w:tc>
          <w:tcPr>
            <w:tcW w:w="624" w:type="dxa"/>
          </w:tcPr>
          <w:p w14:paraId="593FADEA" w14:textId="77777777" w:rsidR="005C7D30" w:rsidRDefault="005C7D30" w:rsidP="00881C2C">
            <w:pPr>
              <w:pStyle w:val="TableText"/>
            </w:pPr>
          </w:p>
        </w:tc>
        <w:tc>
          <w:tcPr>
            <w:tcW w:w="4647" w:type="dxa"/>
          </w:tcPr>
          <w:p w14:paraId="7AFFD9DF" w14:textId="77777777" w:rsidR="005C7D30" w:rsidRDefault="005C7D30" w:rsidP="0003168A">
            <w:pPr>
              <w:pStyle w:val="TableBlock"/>
            </w:pPr>
            <w:r>
              <w:rPr>
                <w:rFonts w:hint="cs"/>
                <w:rtl/>
              </w:rPr>
              <w:t>(ב)</w:t>
            </w:r>
            <w:r>
              <w:rPr>
                <w:rtl/>
              </w:rPr>
              <w:tab/>
            </w:r>
            <w:r>
              <w:rPr>
                <w:rFonts w:hint="cs"/>
                <w:rtl/>
              </w:rPr>
              <w:t xml:space="preserve">בסעיף זה, </w:t>
            </w:r>
            <w:r w:rsidRPr="003A7988">
              <w:rPr>
                <w:rFonts w:hint="cs"/>
                <w:rtl/>
              </w:rPr>
              <w:t>"טיפול המרה" – אב</w:t>
            </w:r>
            <w:r>
              <w:rPr>
                <w:rFonts w:hint="cs"/>
                <w:rtl/>
              </w:rPr>
              <w:t xml:space="preserve">חון, הערכה, ייעוץ או טיפול, </w:t>
            </w:r>
            <w:r w:rsidRPr="003A7988">
              <w:rPr>
                <w:rFonts w:hint="cs"/>
                <w:rtl/>
              </w:rPr>
              <w:t>במטרה לשנות את נטייתו המינית של קטין להטרוסקסואלית</w:t>
            </w:r>
            <w:r>
              <w:rPr>
                <w:rFonts w:hint="cs"/>
                <w:rtl/>
              </w:rPr>
              <w:t xml:space="preserve"> או לשנות את </w:t>
            </w:r>
            <w:r w:rsidRPr="003A7988">
              <w:rPr>
                <w:rFonts w:hint="cs"/>
                <w:rtl/>
              </w:rPr>
              <w:t xml:space="preserve">זהותו המגדרית; לא ייחשב כטיפול המרה </w:t>
            </w:r>
            <w:r>
              <w:rPr>
                <w:rFonts w:hint="cs"/>
                <w:rtl/>
              </w:rPr>
              <w:t>ל</w:t>
            </w:r>
            <w:r w:rsidRPr="003A7988">
              <w:rPr>
                <w:rFonts w:hint="cs"/>
                <w:rtl/>
              </w:rPr>
              <w:t>קטין טיפול שמטרתו לסייע לקטין ל</w:t>
            </w:r>
            <w:r>
              <w:rPr>
                <w:rFonts w:hint="cs"/>
                <w:rtl/>
              </w:rPr>
              <w:t>הבין ולקבל</w:t>
            </w:r>
            <w:r w:rsidRPr="003A7988">
              <w:rPr>
                <w:rFonts w:hint="cs"/>
                <w:rtl/>
              </w:rPr>
              <w:t xml:space="preserve"> את נטייתו המינית או את זהותו המגדרית באופן חופשי, לספק לו תמיכה, יכולת התמודדות, ייעוץ או סיוע ביחס לנטייתו המינית או </w:t>
            </w:r>
            <w:r>
              <w:rPr>
                <w:rFonts w:hint="cs"/>
                <w:rtl/>
              </w:rPr>
              <w:t>ל</w:t>
            </w:r>
            <w:r w:rsidRPr="003A7988">
              <w:rPr>
                <w:rFonts w:hint="cs"/>
                <w:rtl/>
              </w:rPr>
              <w:t>זהותו המגדרית</w:t>
            </w:r>
            <w:r>
              <w:rPr>
                <w:rFonts w:hint="cs"/>
                <w:rtl/>
              </w:rPr>
              <w:t xml:space="preserve"> וכן</w:t>
            </w:r>
            <w:r w:rsidRPr="003A7988">
              <w:rPr>
                <w:rFonts w:hint="cs"/>
                <w:rtl/>
              </w:rPr>
              <w:t xml:space="preserve"> טיפול לשינוי מיני פיזיולוגי</w:t>
            </w:r>
            <w:r>
              <w:rPr>
                <w:rFonts w:hint="cs"/>
                <w:rtl/>
              </w:rPr>
              <w:t>.</w:t>
            </w:r>
            <w:r w:rsidRPr="003A7988">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40F10621" w14:textId="77777777" w:rsidR="005C7D30" w:rsidRPr="0003168A" w:rsidRDefault="005C7D30" w:rsidP="0003168A">
      <w:pPr>
        <w:pStyle w:val="Hesber"/>
        <w:rPr>
          <w:rtl/>
        </w:rPr>
      </w:pPr>
      <w:r w:rsidRPr="0003168A">
        <w:rPr>
          <w:rtl/>
        </w:rPr>
        <w:t xml:space="preserve">מטרת הצעת החוק היא </w:t>
      </w:r>
      <w:r w:rsidRPr="0003168A">
        <w:rPr>
          <w:rFonts w:hint="cs"/>
          <w:rtl/>
        </w:rPr>
        <w:t xml:space="preserve">למנוע קיום טיפולי המרה בקטינים. טיפולי המרה הם טיפולים הנערכים במטרה לשנות נטייה מינית הומוסקסואלית להטרוסקסואלית או לשנות זהות מגדרית (שינוי שאינו פיזיולוגי). בשנת 2014 פרסם משרד הבריאות אזהרה נגד טיפולי המרה תוך הבעת עמדה ברורה לגבי אי יעילותם וציון כי קיימות עדויות בדבר נזקים אפשריים. אזהרה זו מבוססת על נייר עמדה של הסתדרות הפסיכולוגים, שקובע כי טיפולי המרה אינם יעילים. </w:t>
      </w:r>
    </w:p>
    <w:p w14:paraId="7984FC86" w14:textId="77777777" w:rsidR="005C7D30" w:rsidRPr="0003168A" w:rsidRDefault="005C7D30" w:rsidP="0003168A">
      <w:pPr>
        <w:pStyle w:val="Hesber"/>
        <w:rPr>
          <w:rtl/>
        </w:rPr>
      </w:pPr>
      <w:r w:rsidRPr="0003168A">
        <w:rPr>
          <w:rFonts w:hint="cs"/>
          <w:rtl/>
        </w:rPr>
        <w:t xml:space="preserve">למרות עמדות מקצועיות ואזהרות אלה, עדיין יש המבקשים לבצע טיפולי המרה בכלל ובקטינים בפרט. כתוצאה מכך חשופים מקבלי טיפולי ההמרה לנזקים פוטנציאלים, וזאת ללא שום הוכחה ליעילות הטיפול. יתרה מזו, טיפולי המרה מציגים אנשים בעלי נטייה מינית או זהות מגדרית שונה כחריגים שיש </w:t>
      </w:r>
      <w:r w:rsidRPr="0003168A">
        <w:rPr>
          <w:rFonts w:hint="cs"/>
          <w:rtl/>
        </w:rPr>
        <w:lastRenderedPageBreak/>
        <w:t xml:space="preserve">"להמיר" אותם לנורמה. </w:t>
      </w:r>
    </w:p>
    <w:p w14:paraId="7DD88707" w14:textId="77777777" w:rsidR="005C7D30" w:rsidRPr="0003168A" w:rsidRDefault="005C7D30" w:rsidP="0003168A">
      <w:pPr>
        <w:pStyle w:val="Hesber"/>
        <w:rPr>
          <w:rtl/>
        </w:rPr>
      </w:pPr>
      <w:r w:rsidRPr="0003168A">
        <w:rPr>
          <w:rFonts w:hint="cs"/>
          <w:rtl/>
        </w:rPr>
        <w:t>במאבק נגד טיפולי ההמרה קטינים נזקקים להגנה מוגברת שכן הם נתונים ללחצים רבים מסביבתם ומבני משפחותיהם, וזאת בתקופה של בלבול וגיבוש אישיותם. על כן, מוצע לאסור על ביצוע טיפול המרה בקטינים. הצעת החוק מצטרפת לחקיקה אמריקאית בנושא במדינות קליפורניה וניו-ג'רזי האוסרות על טיפולי המרה.</w:t>
      </w:r>
    </w:p>
    <w:p w14:paraId="6970C3DB" w14:textId="05335CC7" w:rsidR="005C7D30" w:rsidRPr="0003168A" w:rsidRDefault="005C7D30" w:rsidP="00AA3637">
      <w:pPr>
        <w:pStyle w:val="Hesber"/>
        <w:rPr>
          <w:rtl/>
        </w:rPr>
      </w:pPr>
      <w:r w:rsidRPr="0003168A">
        <w:rPr>
          <w:rtl/>
        </w:rPr>
        <w:t>הצע</w:t>
      </w:r>
      <w:r w:rsidRPr="0003168A">
        <w:rPr>
          <w:rFonts w:hint="cs"/>
          <w:rtl/>
        </w:rPr>
        <w:t>ו</w:t>
      </w:r>
      <w:r w:rsidRPr="0003168A">
        <w:rPr>
          <w:rtl/>
        </w:rPr>
        <w:t xml:space="preserve">ת חוק </w:t>
      </w:r>
      <w:r w:rsidRPr="0003168A">
        <w:rPr>
          <w:rFonts w:hint="cs"/>
          <w:rtl/>
        </w:rPr>
        <w:t>דומות</w:t>
      </w:r>
      <w:r w:rsidRPr="0003168A">
        <w:rPr>
          <w:rtl/>
        </w:rPr>
        <w:t xml:space="preserve"> </w:t>
      </w:r>
      <w:r w:rsidRPr="0003168A">
        <w:rPr>
          <w:rFonts w:hint="cs"/>
          <w:rtl/>
        </w:rPr>
        <w:t xml:space="preserve">בעיקרן </w:t>
      </w:r>
      <w:r w:rsidRPr="0003168A">
        <w:rPr>
          <w:rtl/>
        </w:rPr>
        <w:t>הונח</w:t>
      </w:r>
      <w:r w:rsidRPr="0003168A">
        <w:rPr>
          <w:rFonts w:hint="cs"/>
          <w:rtl/>
        </w:rPr>
        <w:t>ו</w:t>
      </w:r>
      <w:r w:rsidRPr="0003168A">
        <w:rPr>
          <w:rtl/>
        </w:rPr>
        <w:t xml:space="preserve"> על שולחן הכנסת העשרים </w:t>
      </w:r>
      <w:r w:rsidR="00AA3637">
        <w:rPr>
          <w:rFonts w:hint="cs"/>
          <w:rtl/>
        </w:rPr>
        <w:t>ו</w:t>
      </w:r>
      <w:r w:rsidR="00AA3637" w:rsidRPr="0003168A">
        <w:rPr>
          <w:rFonts w:hint="cs"/>
          <w:rtl/>
        </w:rPr>
        <w:t xml:space="preserve">על שולחן הכנסת העשרים ושתיים </w:t>
      </w:r>
      <w:r w:rsidRPr="0003168A">
        <w:rPr>
          <w:rtl/>
        </w:rPr>
        <w:t>על ידי חברת הכנסת יעל גרמן וקבוצת חברי הכנסת (פ/3093/20; הוסרה מסדר היום ביום ג' באדר התשע"ז (1 במרס 2017)</w:t>
      </w:r>
      <w:r w:rsidRPr="0003168A">
        <w:rPr>
          <w:rFonts w:hint="cs"/>
          <w:rtl/>
        </w:rPr>
        <w:t xml:space="preserve">; פ/4096/20; </w:t>
      </w:r>
      <w:r w:rsidRPr="0003168A">
        <w:rPr>
          <w:rtl/>
        </w:rPr>
        <w:t xml:space="preserve">הוסרה מסדר היום ביום </w:t>
      </w:r>
      <w:r w:rsidRPr="0003168A">
        <w:rPr>
          <w:rFonts w:hint="cs"/>
          <w:rtl/>
        </w:rPr>
        <w:t>ו' בכסלו התשע"ט</w:t>
      </w:r>
      <w:r w:rsidRPr="0003168A">
        <w:rPr>
          <w:rtl/>
        </w:rPr>
        <w:t xml:space="preserve"> (</w:t>
      </w:r>
      <w:r w:rsidRPr="0003168A">
        <w:rPr>
          <w:rFonts w:hint="cs"/>
          <w:rtl/>
        </w:rPr>
        <w:t>14</w:t>
      </w:r>
      <w:r w:rsidRPr="0003168A">
        <w:rPr>
          <w:rtl/>
        </w:rPr>
        <w:t xml:space="preserve"> ב</w:t>
      </w:r>
      <w:r w:rsidRPr="0003168A">
        <w:rPr>
          <w:rFonts w:hint="cs"/>
          <w:rtl/>
        </w:rPr>
        <w:t>נובמבר</w:t>
      </w:r>
      <w:r w:rsidRPr="0003168A">
        <w:rPr>
          <w:rtl/>
        </w:rPr>
        <w:t xml:space="preserve"> 201</w:t>
      </w:r>
      <w:r w:rsidRPr="0003168A">
        <w:rPr>
          <w:rFonts w:hint="cs"/>
          <w:rtl/>
        </w:rPr>
        <w:t>8</w:t>
      </w:r>
      <w:r w:rsidR="00AA3637">
        <w:rPr>
          <w:rtl/>
        </w:rPr>
        <w:t>)</w:t>
      </w:r>
      <w:r w:rsidR="00AA3637">
        <w:rPr>
          <w:rFonts w:hint="cs"/>
          <w:rtl/>
        </w:rPr>
        <w:t xml:space="preserve">; </w:t>
      </w:r>
      <w:r w:rsidRPr="0003168A">
        <w:rPr>
          <w:rFonts w:hint="cs"/>
          <w:rtl/>
        </w:rPr>
        <w:t>פ/217/22)</w:t>
      </w:r>
      <w:r w:rsidRPr="0003168A">
        <w:rPr>
          <w:rtl/>
        </w:rPr>
        <w:t>.</w:t>
      </w:r>
    </w:p>
    <w:p w14:paraId="1CDFBE0C" w14:textId="0C52B1BC" w:rsidR="0003168A" w:rsidRDefault="0003168A" w:rsidP="0003168A">
      <w:pPr>
        <w:pStyle w:val="Hesber"/>
        <w:rPr>
          <w:rtl/>
        </w:rPr>
      </w:pPr>
      <w:r w:rsidRPr="0003168A">
        <w:rPr>
          <w:rFonts w:hint="cs"/>
          <w:rtl/>
        </w:rPr>
        <w:t>הצעות חוק זהות הונחו על שולחן הכנסת העשרים על ידי חברת הכנסת יעל גרמן וקבוצת חברי הכנסת (פ/244/20</w:t>
      </w:r>
      <w:r w:rsidR="00697AF3">
        <w:rPr>
          <w:rFonts w:hint="cs"/>
          <w:rtl/>
        </w:rPr>
        <w:t>)</w:t>
      </w:r>
      <w:r w:rsidRPr="0003168A">
        <w:rPr>
          <w:rFonts w:hint="cs"/>
          <w:rtl/>
        </w:rPr>
        <w:t>; הוסרה מסדר היום ביום ט"ו באדר א' תשע"ו (24 בפברואר 2016)) ועל ידי חברת הכנסת יעל גרמן (פ/4758/20).</w:t>
      </w:r>
    </w:p>
    <w:p w14:paraId="1E7AFD63" w14:textId="77777777" w:rsidR="00AA3637" w:rsidRDefault="00AA3637" w:rsidP="0003168A">
      <w:pPr>
        <w:pStyle w:val="Hesber"/>
        <w:rPr>
          <w:rtl/>
        </w:rPr>
      </w:pPr>
    </w:p>
    <w:p w14:paraId="76465794" w14:textId="77777777" w:rsidR="00AA3637" w:rsidRPr="00D73212" w:rsidRDefault="00AA3637" w:rsidP="00AA3637">
      <w:pPr>
        <w:pStyle w:val="Hesber"/>
        <w:ind w:firstLine="0"/>
        <w:rPr>
          <w:rtl/>
        </w:rPr>
      </w:pPr>
      <w:r w:rsidRPr="00D73212">
        <w:rPr>
          <w:rtl/>
        </w:rPr>
        <w:t>---------------------------------</w:t>
      </w:r>
    </w:p>
    <w:p w14:paraId="039AB14B" w14:textId="77777777" w:rsidR="00AA3637" w:rsidRPr="00D73212" w:rsidRDefault="00AA3637" w:rsidP="00AA3637">
      <w:pPr>
        <w:pStyle w:val="Hesber"/>
        <w:ind w:firstLine="0"/>
        <w:rPr>
          <w:rtl/>
        </w:rPr>
      </w:pPr>
      <w:r w:rsidRPr="00D73212">
        <w:rPr>
          <w:rFonts w:hint="cs"/>
          <w:rtl/>
        </w:rPr>
        <w:t>הוגשה</w:t>
      </w:r>
      <w:r w:rsidRPr="00D73212">
        <w:rPr>
          <w:rtl/>
        </w:rPr>
        <w:t xml:space="preserve"> </w:t>
      </w:r>
      <w:r w:rsidRPr="00D73212">
        <w:rPr>
          <w:rFonts w:hint="cs"/>
          <w:rtl/>
        </w:rPr>
        <w:t>ליו</w:t>
      </w:r>
      <w:r w:rsidRPr="00D73212">
        <w:rPr>
          <w:rtl/>
        </w:rPr>
        <w:t>"</w:t>
      </w:r>
      <w:r w:rsidRPr="00D73212">
        <w:rPr>
          <w:rFonts w:hint="cs"/>
          <w:rtl/>
        </w:rPr>
        <w:t>ר</w:t>
      </w:r>
      <w:r w:rsidRPr="00D73212">
        <w:rPr>
          <w:rtl/>
        </w:rPr>
        <w:t xml:space="preserve"> </w:t>
      </w:r>
      <w:r w:rsidRPr="00D73212">
        <w:rPr>
          <w:rFonts w:hint="cs"/>
          <w:rtl/>
        </w:rPr>
        <w:t>הכנסת</w:t>
      </w:r>
      <w:r w:rsidRPr="00D73212">
        <w:rPr>
          <w:rtl/>
        </w:rPr>
        <w:t xml:space="preserve"> </w:t>
      </w:r>
      <w:r w:rsidRPr="00D73212">
        <w:rPr>
          <w:rFonts w:hint="cs"/>
          <w:rtl/>
        </w:rPr>
        <w:t>והסגנים</w:t>
      </w:r>
    </w:p>
    <w:p w14:paraId="60904CB5" w14:textId="77777777" w:rsidR="00AA3637" w:rsidRPr="00D73212" w:rsidRDefault="00AA3637" w:rsidP="00AA3637">
      <w:pPr>
        <w:pStyle w:val="Hesber"/>
        <w:ind w:firstLine="0"/>
        <w:rPr>
          <w:rtl/>
        </w:rPr>
      </w:pPr>
      <w:r w:rsidRPr="00D73212">
        <w:rPr>
          <w:rFonts w:hint="cs"/>
          <w:rtl/>
        </w:rPr>
        <w:t>והונחה</w:t>
      </w:r>
      <w:r w:rsidRPr="00D73212">
        <w:rPr>
          <w:rtl/>
        </w:rPr>
        <w:t xml:space="preserve"> </w:t>
      </w:r>
      <w:r w:rsidRPr="00D73212">
        <w:rPr>
          <w:rFonts w:hint="cs"/>
          <w:rtl/>
        </w:rPr>
        <w:t>על</w:t>
      </w:r>
      <w:r w:rsidRPr="00D73212">
        <w:rPr>
          <w:rtl/>
        </w:rPr>
        <w:t xml:space="preserve"> </w:t>
      </w:r>
      <w:r w:rsidRPr="00D73212">
        <w:rPr>
          <w:rFonts w:hint="cs"/>
          <w:rtl/>
        </w:rPr>
        <w:t>שולחן</w:t>
      </w:r>
      <w:r w:rsidRPr="00D73212">
        <w:rPr>
          <w:rtl/>
        </w:rPr>
        <w:t xml:space="preserve"> </w:t>
      </w:r>
      <w:r w:rsidRPr="00D73212">
        <w:rPr>
          <w:rFonts w:hint="cs"/>
          <w:rtl/>
        </w:rPr>
        <w:t>הכנסת</w:t>
      </w:r>
      <w:r w:rsidRPr="00D73212">
        <w:rPr>
          <w:rtl/>
        </w:rPr>
        <w:t xml:space="preserve"> </w:t>
      </w:r>
      <w:r w:rsidRPr="00D73212">
        <w:rPr>
          <w:rFonts w:hint="cs"/>
          <w:rtl/>
        </w:rPr>
        <w:t>ביום</w:t>
      </w:r>
    </w:p>
    <w:p w14:paraId="1ADB9A04" w14:textId="77777777" w:rsidR="00AA3637" w:rsidRPr="005E6543" w:rsidRDefault="00AA3637" w:rsidP="00AA3637">
      <w:pPr>
        <w:pStyle w:val="Hesber"/>
        <w:ind w:firstLine="0"/>
        <w:rPr>
          <w:rtl/>
        </w:rPr>
      </w:pPr>
      <w:r>
        <w:rPr>
          <w:rFonts w:hint="cs"/>
          <w:rtl/>
        </w:rPr>
        <w:t xml:space="preserve">כ"ד באייר </w:t>
      </w:r>
      <w:r w:rsidRPr="00D73212">
        <w:rPr>
          <w:rFonts w:hint="cs"/>
          <w:rtl/>
        </w:rPr>
        <w:t>התש</w:t>
      </w:r>
      <w:r>
        <w:rPr>
          <w:rFonts w:hint="cs"/>
          <w:rtl/>
        </w:rPr>
        <w:t xml:space="preserve">"ף </w:t>
      </w:r>
      <w:r w:rsidRPr="00D73212">
        <w:rPr>
          <w:rtl/>
        </w:rPr>
        <w:t>–</w:t>
      </w:r>
      <w:r>
        <w:rPr>
          <w:rFonts w:hint="cs"/>
          <w:rtl/>
        </w:rPr>
        <w:t xml:space="preserve"> 18.5.20</w:t>
      </w:r>
    </w:p>
    <w:p w14:paraId="6F577031" w14:textId="77777777" w:rsidR="00AA3637" w:rsidRPr="0003168A" w:rsidRDefault="00AA3637" w:rsidP="0003168A">
      <w:pPr>
        <w:pStyle w:val="Hesber"/>
        <w:rPr>
          <w:rtl/>
        </w:rPr>
      </w:pPr>
    </w:p>
    <w:p w14:paraId="26168DCA" w14:textId="77777777" w:rsidR="005C7D30" w:rsidRDefault="005C7D30" w:rsidP="005C7D30">
      <w:pPr>
        <w:pStyle w:val="Hesber"/>
        <w:rPr>
          <w:rtl/>
        </w:rPr>
      </w:pPr>
    </w:p>
    <w:p w14:paraId="7F6961CB" w14:textId="77777777" w:rsidR="00E13C27" w:rsidRDefault="00E13C27" w:rsidP="00E13C27">
      <w:pPr>
        <w:pStyle w:val="Hesber"/>
        <w:rPr>
          <w:rtl/>
        </w:rPr>
      </w:pPr>
    </w:p>
    <w:sectPr w:rsidR="00E13C27" w:rsidSect="0003168A">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3E7C5ABC"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122516">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03168A">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3D01231C" w14:textId="77777777" w:rsidR="005C7D30" w:rsidRDefault="005C7D30" w:rsidP="005C7D30">
      <w:pPr>
        <w:pStyle w:val="a4"/>
        <w:rPr>
          <w:rtl/>
        </w:rPr>
      </w:pPr>
      <w:r>
        <w:rPr>
          <w:rStyle w:val="a5"/>
        </w:rPr>
        <w:footnoteRef/>
      </w:r>
      <w:r>
        <w:rPr>
          <w:rtl/>
        </w:rPr>
        <w:t xml:space="preserve"> </w:t>
      </w:r>
      <w:r>
        <w:rPr>
          <w:rFonts w:hint="cs"/>
          <w:rtl/>
        </w:rPr>
        <w:t>ס"ח התשל"ז,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3168A"/>
    <w:rsid w:val="00063A3E"/>
    <w:rsid w:val="00072CAC"/>
    <w:rsid w:val="0007681A"/>
    <w:rsid w:val="000A542E"/>
    <w:rsid w:val="00102B6B"/>
    <w:rsid w:val="001052D4"/>
    <w:rsid w:val="0010644B"/>
    <w:rsid w:val="001207F8"/>
    <w:rsid w:val="00121924"/>
    <w:rsid w:val="00122516"/>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C7D30"/>
    <w:rsid w:val="005D51AE"/>
    <w:rsid w:val="0062674B"/>
    <w:rsid w:val="006363B2"/>
    <w:rsid w:val="00644940"/>
    <w:rsid w:val="006818A9"/>
    <w:rsid w:val="00697AF3"/>
    <w:rsid w:val="006A2D81"/>
    <w:rsid w:val="006C1D0D"/>
    <w:rsid w:val="0070601E"/>
    <w:rsid w:val="00712C72"/>
    <w:rsid w:val="00724A4A"/>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95BB2"/>
    <w:rsid w:val="009A0DB8"/>
    <w:rsid w:val="009A7257"/>
    <w:rsid w:val="009D6E0A"/>
    <w:rsid w:val="009E1E33"/>
    <w:rsid w:val="00A14672"/>
    <w:rsid w:val="00A26BD6"/>
    <w:rsid w:val="00A443CF"/>
    <w:rsid w:val="00A6611D"/>
    <w:rsid w:val="00A82CB7"/>
    <w:rsid w:val="00A942C1"/>
    <w:rsid w:val="00AA2F03"/>
    <w:rsid w:val="00AA3637"/>
    <w:rsid w:val="00AC36F7"/>
    <w:rsid w:val="00AC63A4"/>
    <w:rsid w:val="00AD239E"/>
    <w:rsid w:val="00B10265"/>
    <w:rsid w:val="00B16A99"/>
    <w:rsid w:val="00B21211"/>
    <w:rsid w:val="00B35784"/>
    <w:rsid w:val="00B60938"/>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91806"/>
    <w:rsid w:val="00EA01E6"/>
    <w:rsid w:val="00EA24D8"/>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4844-E93B-4664-9772-D2F9BB60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8A"/>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03168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03168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03168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03168A"/>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03168A"/>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03168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03168A"/>
    <w:rPr>
      <w:sz w:val="36"/>
      <w:szCs w:val="52"/>
    </w:rPr>
  </w:style>
  <w:style w:type="paragraph" w:customStyle="1" w:styleId="Cover3-Haknesset">
    <w:name w:val="Cover 3-Haknesset"/>
    <w:basedOn w:val="Cover1-Reshumot"/>
    <w:rsid w:val="0003168A"/>
    <w:rPr>
      <w:b/>
      <w:bCs/>
      <w:spacing w:val="60"/>
    </w:rPr>
  </w:style>
  <w:style w:type="paragraph" w:customStyle="1" w:styleId="Cover4-Date">
    <w:name w:val="Cover 4-Date"/>
    <w:basedOn w:val="a"/>
    <w:rsid w:val="0003168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03168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03168A"/>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03168A"/>
    <w:pPr>
      <w:spacing w:before="120" w:after="120"/>
    </w:pPr>
    <w:rPr>
      <w:color w:val="FF0000"/>
      <w:w w:val="80"/>
    </w:rPr>
  </w:style>
  <w:style w:type="paragraph" w:styleId="a3">
    <w:name w:val="endnote text"/>
    <w:basedOn w:val="a"/>
    <w:semiHidden/>
    <w:rsid w:val="0003168A"/>
    <w:pPr>
      <w:ind w:left="227" w:hanging="227"/>
    </w:pPr>
    <w:rPr>
      <w:sz w:val="14"/>
      <w:szCs w:val="22"/>
    </w:rPr>
  </w:style>
  <w:style w:type="paragraph" w:customStyle="1" w:styleId="TableText">
    <w:name w:val="Table Text"/>
    <w:basedOn w:val="a"/>
    <w:rsid w:val="0003168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03168A"/>
    <w:pPr>
      <w:outlineLvl w:val="2"/>
    </w:pPr>
  </w:style>
  <w:style w:type="paragraph" w:customStyle="1" w:styleId="TableBlock">
    <w:name w:val="Table Block"/>
    <w:basedOn w:val="TableText"/>
    <w:rsid w:val="0003168A"/>
    <w:pPr>
      <w:jc w:val="both"/>
    </w:pPr>
  </w:style>
  <w:style w:type="paragraph" w:customStyle="1" w:styleId="TableHead">
    <w:name w:val="Table Head"/>
    <w:basedOn w:val="TableText"/>
    <w:rsid w:val="0003168A"/>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03168A"/>
    <w:pPr>
      <w:outlineLvl w:val="9"/>
    </w:pPr>
  </w:style>
  <w:style w:type="paragraph" w:customStyle="1" w:styleId="Hesber">
    <w:name w:val="Hesber"/>
    <w:basedOn w:val="a"/>
    <w:rsid w:val="0003168A"/>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03168A"/>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03168A"/>
    <w:rPr>
      <w:vertAlign w:val="superscript"/>
    </w:rPr>
  </w:style>
  <w:style w:type="paragraph" w:customStyle="1" w:styleId="HesberHeading">
    <w:name w:val="Hesber Heading"/>
    <w:basedOn w:val="Hesber"/>
    <w:rsid w:val="0003168A"/>
    <w:pPr>
      <w:tabs>
        <w:tab w:val="left" w:pos="624"/>
        <w:tab w:val="left" w:pos="1247"/>
      </w:tabs>
    </w:pPr>
    <w:rPr>
      <w:b/>
      <w:bCs/>
    </w:rPr>
  </w:style>
  <w:style w:type="paragraph" w:customStyle="1" w:styleId="HesberWriters">
    <w:name w:val="Hesber Writers"/>
    <w:basedOn w:val="Hesber"/>
    <w:rsid w:val="0003168A"/>
    <w:pPr>
      <w:spacing w:before="120" w:after="120"/>
      <w:ind w:left="1418"/>
      <w:jc w:val="right"/>
    </w:pPr>
    <w:rPr>
      <w:b/>
      <w:bCs/>
    </w:rPr>
  </w:style>
  <w:style w:type="paragraph" w:customStyle="1" w:styleId="Hesber1st">
    <w:name w:val="Hesber 1st"/>
    <w:basedOn w:val="Hesber"/>
    <w:rsid w:val="0003168A"/>
    <w:pPr>
      <w:tabs>
        <w:tab w:val="left" w:pos="680"/>
        <w:tab w:val="left" w:pos="1020"/>
      </w:tabs>
      <w:ind w:firstLine="0"/>
    </w:pPr>
  </w:style>
  <w:style w:type="character" w:styleId="a6">
    <w:name w:val="endnote reference"/>
    <w:basedOn w:val="a0"/>
    <w:semiHidden/>
    <w:rsid w:val="0003168A"/>
    <w:rPr>
      <w:vertAlign w:val="superscript"/>
    </w:rPr>
  </w:style>
  <w:style w:type="paragraph" w:customStyle="1" w:styleId="TableBlockOutdent">
    <w:name w:val="Table BlockOutdent"/>
    <w:basedOn w:val="TableBlock"/>
    <w:rsid w:val="0003168A"/>
    <w:pPr>
      <w:ind w:left="624" w:hanging="624"/>
    </w:pPr>
  </w:style>
  <w:style w:type="paragraph" w:styleId="a7">
    <w:name w:val="header"/>
    <w:basedOn w:val="a"/>
    <w:rsid w:val="0003168A"/>
    <w:pPr>
      <w:tabs>
        <w:tab w:val="center" w:pos="4153"/>
        <w:tab w:val="right" w:pos="8306"/>
      </w:tabs>
    </w:pPr>
  </w:style>
  <w:style w:type="paragraph" w:styleId="a8">
    <w:name w:val="footer"/>
    <w:basedOn w:val="a"/>
    <w:rsid w:val="0003168A"/>
    <w:pPr>
      <w:tabs>
        <w:tab w:val="center" w:pos="4153"/>
        <w:tab w:val="right" w:pos="8306"/>
      </w:tabs>
    </w:pPr>
  </w:style>
  <w:style w:type="paragraph" w:customStyle="1" w:styleId="HeadDivreiHesber">
    <w:name w:val="Head DivreiHesber"/>
    <w:basedOn w:val="a"/>
    <w:rsid w:val="0003168A"/>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03168A"/>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03168A"/>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03168A"/>
    <w:rPr>
      <w:rFonts w:asciiTheme="majorHAnsi" w:eastAsiaTheme="majorEastAsia" w:hAnsiTheme="majorHAnsi" w:cs="David"/>
      <w:bCs/>
      <w:sz w:val="32"/>
      <w:szCs w:val="36"/>
    </w:rPr>
  </w:style>
  <w:style w:type="character" w:customStyle="1" w:styleId="20">
    <w:name w:val="כותרת 2 תו"/>
    <w:basedOn w:val="a0"/>
    <w:link w:val="2"/>
    <w:rsid w:val="0003168A"/>
    <w:rPr>
      <w:rFonts w:asciiTheme="majorHAnsi" w:eastAsiaTheme="majorEastAsia" w:hAnsiTheme="majorHAnsi" w:cs="David"/>
      <w:bCs/>
      <w:sz w:val="26"/>
      <w:szCs w:val="36"/>
      <w:u w:val="single"/>
    </w:rPr>
  </w:style>
  <w:style w:type="character" w:customStyle="1" w:styleId="30">
    <w:name w:val="כותרת 3 תו"/>
    <w:basedOn w:val="a0"/>
    <w:link w:val="3"/>
    <w:rsid w:val="0003168A"/>
    <w:rPr>
      <w:rFonts w:asciiTheme="majorHAnsi" w:eastAsiaTheme="majorEastAsia" w:hAnsiTheme="majorHAnsi" w:cs="David"/>
      <w:sz w:val="24"/>
      <w:szCs w:val="28"/>
      <w:u w:val="double"/>
    </w:rPr>
  </w:style>
  <w:style w:type="character" w:customStyle="1" w:styleId="40">
    <w:name w:val="כותרת 4 תו"/>
    <w:basedOn w:val="a0"/>
    <w:link w:val="4"/>
    <w:uiPriority w:val="9"/>
    <w:rsid w:val="0003168A"/>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03168A"/>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03168A"/>
    <w:pPr>
      <w:widowControl/>
      <w:spacing w:before="120" w:after="120"/>
      <w:outlineLvl w:val="9"/>
    </w:pPr>
    <w:rPr>
      <w:rtl/>
      <w:cs/>
    </w:rPr>
  </w:style>
  <w:style w:type="paragraph" w:styleId="TOC1">
    <w:name w:val="toc 1"/>
    <w:basedOn w:val="a"/>
    <w:next w:val="a"/>
    <w:autoRedefine/>
    <w:uiPriority w:val="39"/>
    <w:unhideWhenUsed/>
    <w:rsid w:val="0003168A"/>
    <w:pPr>
      <w:tabs>
        <w:tab w:val="right" w:leader="dot" w:pos="9629"/>
      </w:tabs>
      <w:spacing w:after="100"/>
    </w:pPr>
    <w:rPr>
      <w:bCs/>
      <w:szCs w:val="22"/>
    </w:rPr>
  </w:style>
  <w:style w:type="paragraph" w:styleId="TOC2">
    <w:name w:val="toc 2"/>
    <w:basedOn w:val="a"/>
    <w:next w:val="a"/>
    <w:uiPriority w:val="39"/>
    <w:unhideWhenUsed/>
    <w:rsid w:val="0003168A"/>
    <w:pPr>
      <w:tabs>
        <w:tab w:val="right" w:leader="dot" w:pos="9628"/>
      </w:tabs>
      <w:spacing w:after="100"/>
    </w:pPr>
    <w:rPr>
      <w:szCs w:val="22"/>
    </w:rPr>
  </w:style>
  <w:style w:type="character" w:styleId="Hyperlink">
    <w:name w:val="Hyperlink"/>
    <w:basedOn w:val="a0"/>
    <w:uiPriority w:val="99"/>
    <w:unhideWhenUsed/>
    <w:rsid w:val="0003168A"/>
    <w:rPr>
      <w:color w:val="0000FF" w:themeColor="hyperlink"/>
      <w:u w:val="single"/>
    </w:rPr>
  </w:style>
  <w:style w:type="paragraph" w:styleId="TOC3">
    <w:name w:val="toc 3"/>
    <w:basedOn w:val="a"/>
    <w:next w:val="a"/>
    <w:uiPriority w:val="39"/>
    <w:unhideWhenUsed/>
    <w:rsid w:val="0003168A"/>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03168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03168A"/>
    <w:pPr>
      <w:tabs>
        <w:tab w:val="right" w:leader="dot" w:pos="9628"/>
      </w:tabs>
      <w:spacing w:after="100"/>
      <w:ind w:left="567"/>
    </w:pPr>
    <w:rPr>
      <w:szCs w:val="22"/>
    </w:rPr>
  </w:style>
  <w:style w:type="paragraph" w:styleId="TOC6">
    <w:name w:val="toc 6"/>
    <w:basedOn w:val="a"/>
    <w:next w:val="a"/>
    <w:autoRedefine/>
    <w:semiHidden/>
    <w:unhideWhenUsed/>
    <w:rsid w:val="0003168A"/>
    <w:pPr>
      <w:spacing w:after="100"/>
      <w:ind w:left="850"/>
    </w:pPr>
  </w:style>
  <w:style w:type="paragraph" w:styleId="TOC7">
    <w:name w:val="toc 7"/>
    <w:basedOn w:val="a"/>
    <w:next w:val="a"/>
    <w:autoRedefine/>
    <w:semiHidden/>
    <w:unhideWhenUsed/>
    <w:rsid w:val="0003168A"/>
    <w:pPr>
      <w:spacing w:after="100"/>
      <w:ind w:left="1020"/>
    </w:pPr>
  </w:style>
  <w:style w:type="paragraph" w:styleId="TOC8">
    <w:name w:val="toc 8"/>
    <w:basedOn w:val="a"/>
    <w:next w:val="a"/>
    <w:autoRedefine/>
    <w:semiHidden/>
    <w:unhideWhenUsed/>
    <w:rsid w:val="0003168A"/>
    <w:pPr>
      <w:spacing w:after="100"/>
      <w:ind w:left="1190"/>
    </w:pPr>
  </w:style>
  <w:style w:type="paragraph" w:styleId="TOC9">
    <w:name w:val="toc 9"/>
    <w:basedOn w:val="a"/>
    <w:next w:val="a"/>
    <w:autoRedefine/>
    <w:semiHidden/>
    <w:unhideWhenUsed/>
    <w:rsid w:val="0003168A"/>
    <w:pPr>
      <w:spacing w:after="100"/>
      <w:ind w:left="1360"/>
    </w:pPr>
  </w:style>
  <w:style w:type="paragraph" w:customStyle="1" w:styleId="TableHead2">
    <w:name w:val="Table Head2"/>
    <w:basedOn w:val="TableHead"/>
    <w:qFormat/>
    <w:rsid w:val="0003168A"/>
    <w:pPr>
      <w:outlineLvl w:val="9"/>
    </w:pPr>
  </w:style>
  <w:style w:type="paragraph" w:customStyle="1" w:styleId="TableSideHeading2">
    <w:name w:val="Table SideHeading2"/>
    <w:basedOn w:val="TableSideHeading"/>
    <w:autoRedefine/>
    <w:qFormat/>
    <w:rsid w:val="0003168A"/>
    <w:pPr>
      <w:keepLines w:val="0"/>
      <w:outlineLvl w:val="9"/>
    </w:pPr>
  </w:style>
  <w:style w:type="paragraph" w:customStyle="1" w:styleId="0">
    <w:name w:val="סגנון שורה ראשונה:  0  ס''מ"/>
    <w:basedOn w:val="2"/>
    <w:rsid w:val="0003168A"/>
    <w:rPr>
      <w:rFonts w:eastAsia="Times New Roman"/>
    </w:rPr>
  </w:style>
  <w:style w:type="paragraph" w:styleId="ae">
    <w:name w:val="List Paragraph"/>
    <w:basedOn w:val="a"/>
    <w:uiPriority w:val="34"/>
    <w:qFormat/>
    <w:rsid w:val="0003168A"/>
    <w:pPr>
      <w:widowControl/>
      <w:spacing w:line="259" w:lineRule="auto"/>
    </w:pPr>
    <w:rPr>
      <w:rFonts w:asciiTheme="minorHAnsi" w:hAnsiTheme="minorHAnsi"/>
      <w:sz w:val="22"/>
    </w:rPr>
  </w:style>
  <w:style w:type="table" w:styleId="af">
    <w:name w:val="Table Grid"/>
    <w:basedOn w:val="a1"/>
    <w:rsid w:val="0003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0316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0316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03168A"/>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03168A"/>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35BEA5-ABC4-42FC-A4D9-D38BB015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0DA1F-F1F7-4BD2-922B-9EEF0D89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341</Words>
  <Characters>1949</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13</cp:revision>
  <cp:lastPrinted>2013-07-04T08:25:00Z</cp:lastPrinted>
  <dcterms:created xsi:type="dcterms:W3CDTF">2015-04-20T09:58:00Z</dcterms:created>
  <dcterms:modified xsi:type="dcterms:W3CDTF">2020-05-12T11:09:00Z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2086043</vt:r8>
  </property>
</Properties>
</file>