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961A1" w14:textId="77777777" w:rsidR="002C2E29" w:rsidRPr="00E635A2" w:rsidRDefault="004033D8" w:rsidP="00E635A2">
      <w:pPr>
        <w:jc w:val="right"/>
        <w:rPr>
          <w:b/>
          <w:bCs/>
          <w:sz w:val="20"/>
          <w:szCs w:val="20"/>
        </w:rPr>
      </w:pPr>
      <w:r w:rsidRPr="00E635A2">
        <w:rPr>
          <w:rFonts w:hint="cs"/>
          <w:sz w:val="20"/>
          <w:szCs w:val="20"/>
          <w:rtl/>
        </w:rPr>
        <w:t xml:space="preserve">מספר פנימי: </w:t>
      </w:r>
      <w:bookmarkStart w:id="0" w:name="LGS_Internal_ID"/>
      <w:r>
        <w:rPr>
          <w:rFonts w:hint="cs"/>
          <w:sz w:val="20"/>
          <w:szCs w:val="20"/>
          <w:rtl/>
        </w:rPr>
        <w:t>2085810</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ושלוש</w:t>
      </w:r>
      <w:bookmarkEnd w:id="1"/>
    </w:p>
    <w:p w14:paraId="7F6961A3" w14:textId="77777777" w:rsidR="00E13C27" w:rsidRPr="00F67051" w:rsidRDefault="00E13C27" w:rsidP="00E13C27">
      <w:pPr>
        <w:rPr>
          <w:b/>
          <w:bCs/>
          <w:sz w:val="26"/>
          <w:szCs w:val="26"/>
          <w:rtl/>
        </w:rPr>
      </w:pPr>
    </w:p>
    <w:p w14:paraId="7F6961A6" w14:textId="77777777" w:rsidR="00E13C27" w:rsidRDefault="008F6665" w:rsidP="00930EFE">
      <w:pPr>
        <w:pStyle w:val="David"/>
        <w:ind w:left="3544"/>
        <w:rPr>
          <w:b/>
          <w:bCs/>
          <w:rtl/>
        </w:rPr>
      </w:pPr>
      <w:bookmarkStart w:id="2" w:name="LGS_Initiators_List"/>
      <w:r>
        <w:rPr>
          <w:b/>
          <w:bCs/>
          <w:rtl/>
        </w:rPr>
        <w:t>יוזמת:</w:t>
      </w:r>
      <w:r>
        <w:tab/>
      </w:r>
      <w:r>
        <w:rPr>
          <w:b/>
          <w:bCs/>
          <w:rtl/>
        </w:rPr>
        <w:t xml:space="preserve">      חברת הכנסת</w:t>
      </w:r>
      <w:bookmarkEnd w:id="2"/>
      <w:r w:rsidR="00B35784" w:rsidRPr="00F67051">
        <w:rPr>
          <w:b/>
          <w:bCs/>
        </w:rPr>
        <w:tab/>
      </w:r>
      <w:bookmarkStart w:id="3" w:name="LGS_PM_Names"/>
      <w:r>
        <w:rPr>
          <w:rFonts w:hint="cs"/>
          <w:b/>
          <w:bCs/>
          <w:rtl/>
        </w:rPr>
        <w:t>שרן מרים השכל</w:t>
      </w:r>
      <w:bookmarkEnd w:id="3"/>
    </w:p>
    <w:p w14:paraId="7F6961AA" w14:textId="39F9D96B" w:rsidR="00E13C27" w:rsidRPr="00CF1AA2" w:rsidRDefault="007D585A" w:rsidP="0036422C">
      <w:pPr>
        <w:pStyle w:val="David"/>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7B5257EB" w:rsidR="00E13C27" w:rsidRPr="00E06736" w:rsidRDefault="00904591" w:rsidP="006C62F8">
      <w:pPr>
        <w:pStyle w:val="David"/>
        <w:spacing w:line="240" w:lineRule="auto"/>
        <w:ind w:left="6424" w:firstLine="56"/>
        <w:rPr>
          <w:rtl/>
        </w:rPr>
      </w:pPr>
      <w:bookmarkStart w:id="6" w:name="Private_Number"/>
      <w:r>
        <w:rPr>
          <w:rFonts w:hint="cs"/>
          <w:rtl/>
        </w:rPr>
        <w:t>פ/80/23</w:t>
      </w:r>
      <w:bookmarkEnd w:id="6"/>
    </w:p>
    <w:p w14:paraId="7F6961AD" w14:textId="77777777" w:rsidR="00E13C27" w:rsidRPr="00F67051" w:rsidRDefault="00A443CF" w:rsidP="0021633A">
      <w:pPr>
        <w:pStyle w:val="HeadHatzaotHok"/>
        <w:rPr>
          <w:rtl/>
        </w:rPr>
      </w:pPr>
      <w:bookmarkStart w:id="7" w:name="LGS_Subject"/>
      <w:r>
        <w:rPr>
          <w:rFonts w:hint="cs"/>
          <w:rtl/>
        </w:rPr>
        <w:t>הצעת חוק לתיקון פקודת הסמים המסוכנים (הגדרת צמח הקנבוס, מדרוג עבירות ועונשים בסם קנבוס), התש"ף–2020</w:t>
      </w:r>
      <w:bookmarkEnd w:id="7"/>
    </w:p>
    <w:p w14:paraId="7F6961AE" w14:textId="77777777" w:rsidR="00E13C27" w:rsidRDefault="00E13C27" w:rsidP="0021633A">
      <w:pPr>
        <w:pStyle w:val="HeadDivreiHesber"/>
        <w:spacing w:before="0" w:after="0"/>
        <w:rPr>
          <w:rtl/>
        </w:rPr>
      </w:pPr>
    </w:p>
    <w:tbl>
      <w:tblPr>
        <w:bidiVisual/>
        <w:tblW w:w="9636" w:type="dxa"/>
        <w:tblLayout w:type="fixed"/>
        <w:tblCellMar>
          <w:top w:w="57" w:type="dxa"/>
          <w:left w:w="0" w:type="dxa"/>
          <w:bottom w:w="57" w:type="dxa"/>
          <w:right w:w="0" w:type="dxa"/>
        </w:tblCellMar>
        <w:tblLook w:val="01E0" w:firstRow="1" w:lastRow="1" w:firstColumn="1" w:lastColumn="1" w:noHBand="0" w:noVBand="0"/>
      </w:tblPr>
      <w:tblGrid>
        <w:gridCol w:w="1869"/>
        <w:gridCol w:w="623"/>
        <w:gridCol w:w="624"/>
        <w:gridCol w:w="624"/>
        <w:gridCol w:w="624"/>
        <w:gridCol w:w="624"/>
        <w:gridCol w:w="4648"/>
      </w:tblGrid>
      <w:tr w:rsidR="00D928C1" w:rsidRPr="00C34DE2" w14:paraId="698A08E5" w14:textId="77777777" w:rsidTr="001B4275">
        <w:trPr>
          <w:cantSplit/>
        </w:trPr>
        <w:tc>
          <w:tcPr>
            <w:tcW w:w="1869" w:type="dxa"/>
          </w:tcPr>
          <w:p w14:paraId="68AE11EC" w14:textId="77777777" w:rsidR="00D928C1" w:rsidRDefault="00D928C1" w:rsidP="00827A49">
            <w:pPr>
              <w:pStyle w:val="TableSideHeading"/>
              <w:keepLines w:val="0"/>
            </w:pPr>
            <w:r>
              <w:rPr>
                <w:rFonts w:hint="cs"/>
                <w:rtl/>
              </w:rPr>
              <w:t>תיקון סעיף 10</w:t>
            </w:r>
          </w:p>
        </w:tc>
        <w:tc>
          <w:tcPr>
            <w:tcW w:w="623" w:type="dxa"/>
          </w:tcPr>
          <w:p w14:paraId="78F27966" w14:textId="77777777" w:rsidR="00D928C1" w:rsidRDefault="00D928C1" w:rsidP="00827A49">
            <w:pPr>
              <w:pStyle w:val="TableText"/>
              <w:keepLines w:val="0"/>
            </w:pPr>
            <w:r>
              <w:rPr>
                <w:rFonts w:hint="cs"/>
                <w:rtl/>
              </w:rPr>
              <w:t>1.</w:t>
            </w:r>
          </w:p>
        </w:tc>
        <w:tc>
          <w:tcPr>
            <w:tcW w:w="7144" w:type="dxa"/>
            <w:gridSpan w:val="5"/>
          </w:tcPr>
          <w:p w14:paraId="09284920" w14:textId="3873A2A4" w:rsidR="00D928C1" w:rsidRPr="00C34DE2" w:rsidRDefault="00D928C1" w:rsidP="006C62F8">
            <w:pPr>
              <w:pStyle w:val="TableBlock"/>
            </w:pPr>
            <w:r w:rsidRPr="0044639D">
              <w:rPr>
                <w:rtl/>
              </w:rPr>
              <w:t>בפקודת הסמים המסוכנים [נוסח חדש], התשל"ג–1973</w:t>
            </w:r>
            <w:r w:rsidRPr="001B4275">
              <w:rPr>
                <w:rStyle w:val="a6"/>
                <w:rFonts w:ascii="David" w:hAnsi="David"/>
                <w:sz w:val="26"/>
                <w:rtl/>
              </w:rPr>
              <w:footnoteReference w:id="2"/>
            </w:r>
            <w:r>
              <w:rPr>
                <w:rFonts w:hint="cs"/>
                <w:rtl/>
              </w:rPr>
              <w:t>, בסעיף 10, במקום הסיפה החל במילים "ואם היו כלים" יבוא "ואולם לא יישא אדם באחריות פלילית אם היו הכלים לשימוש בצריכתו העצמית בלבד".</w:t>
            </w:r>
          </w:p>
        </w:tc>
      </w:tr>
      <w:tr w:rsidR="00D928C1" w:rsidRPr="00393170" w14:paraId="7A20D568" w14:textId="77777777" w:rsidTr="001B4275">
        <w:trPr>
          <w:cantSplit/>
        </w:trPr>
        <w:tc>
          <w:tcPr>
            <w:tcW w:w="1869" w:type="dxa"/>
          </w:tcPr>
          <w:p w14:paraId="6F8422D6" w14:textId="77777777" w:rsidR="00D928C1" w:rsidRDefault="00D928C1" w:rsidP="00827A49">
            <w:pPr>
              <w:pStyle w:val="TableSideHeading"/>
              <w:keepLines w:val="0"/>
              <w:rPr>
                <w:rtl/>
              </w:rPr>
            </w:pPr>
            <w:r w:rsidRPr="008626C7">
              <w:rPr>
                <w:rtl/>
              </w:rPr>
              <w:t>ה</w:t>
            </w:r>
            <w:r>
              <w:rPr>
                <w:rFonts w:hint="cs"/>
                <w:rtl/>
              </w:rPr>
              <w:t>וספת</w:t>
            </w:r>
            <w:r w:rsidRPr="008626C7">
              <w:rPr>
                <w:rtl/>
              </w:rPr>
              <w:t xml:space="preserve"> פרק </w:t>
            </w:r>
            <w:r>
              <w:rPr>
                <w:rtl/>
              </w:rPr>
              <w:t>ג</w:t>
            </w:r>
            <w:r>
              <w:rPr>
                <w:rFonts w:hint="cs"/>
                <w:rtl/>
              </w:rPr>
              <w:t>'2</w:t>
            </w:r>
          </w:p>
        </w:tc>
        <w:tc>
          <w:tcPr>
            <w:tcW w:w="623" w:type="dxa"/>
          </w:tcPr>
          <w:p w14:paraId="3B39704A" w14:textId="77777777" w:rsidR="00D928C1" w:rsidRDefault="00D928C1" w:rsidP="00827A49">
            <w:pPr>
              <w:pStyle w:val="TableText"/>
              <w:rPr>
                <w:rtl/>
              </w:rPr>
            </w:pPr>
            <w:r>
              <w:rPr>
                <w:rFonts w:hint="cs"/>
                <w:rtl/>
              </w:rPr>
              <w:t>2.</w:t>
            </w:r>
          </w:p>
        </w:tc>
        <w:tc>
          <w:tcPr>
            <w:tcW w:w="7144" w:type="dxa"/>
            <w:gridSpan w:val="5"/>
          </w:tcPr>
          <w:p w14:paraId="2595AD29" w14:textId="77777777" w:rsidR="00D928C1" w:rsidRPr="00393170" w:rsidRDefault="00D928C1" w:rsidP="001B4275">
            <w:pPr>
              <w:pStyle w:val="TableBlock"/>
              <w:rPr>
                <w:rtl/>
              </w:rPr>
            </w:pPr>
            <w:r>
              <w:rPr>
                <w:rFonts w:hint="cs"/>
                <w:rtl/>
              </w:rPr>
              <w:t>אחרי פרק ג'1</w:t>
            </w:r>
            <w:r w:rsidRPr="00393170">
              <w:rPr>
                <w:rtl/>
              </w:rPr>
              <w:t xml:space="preserve"> </w:t>
            </w:r>
            <w:r>
              <w:rPr>
                <w:rFonts w:hint="cs"/>
                <w:rtl/>
              </w:rPr>
              <w:t xml:space="preserve">לפקודה </w:t>
            </w:r>
            <w:r w:rsidRPr="00393170">
              <w:rPr>
                <w:rtl/>
              </w:rPr>
              <w:t>יבוא:</w:t>
            </w:r>
          </w:p>
        </w:tc>
      </w:tr>
      <w:tr w:rsidR="00D928C1" w:rsidRPr="002C05F5" w14:paraId="223D68A3" w14:textId="77777777" w:rsidTr="001B4275">
        <w:trPr>
          <w:cantSplit/>
        </w:trPr>
        <w:tc>
          <w:tcPr>
            <w:tcW w:w="1869" w:type="dxa"/>
          </w:tcPr>
          <w:p w14:paraId="58A7FCFA" w14:textId="77777777" w:rsidR="00D928C1" w:rsidRPr="002C05F5" w:rsidRDefault="00D928C1" w:rsidP="00827A49">
            <w:pPr>
              <w:pStyle w:val="TableSideHeading"/>
              <w:rPr>
                <w:rtl/>
              </w:rPr>
            </w:pPr>
          </w:p>
        </w:tc>
        <w:tc>
          <w:tcPr>
            <w:tcW w:w="623" w:type="dxa"/>
          </w:tcPr>
          <w:p w14:paraId="3FA0E8F3" w14:textId="77777777" w:rsidR="00D928C1" w:rsidRPr="002C05F5" w:rsidRDefault="00D928C1" w:rsidP="00827A49">
            <w:pPr>
              <w:pStyle w:val="TableText"/>
              <w:jc w:val="both"/>
              <w:rPr>
                <w:rtl/>
              </w:rPr>
            </w:pPr>
          </w:p>
        </w:tc>
        <w:tc>
          <w:tcPr>
            <w:tcW w:w="7144" w:type="dxa"/>
            <w:gridSpan w:val="5"/>
          </w:tcPr>
          <w:p w14:paraId="1B157BDC" w14:textId="77777777" w:rsidR="00D928C1" w:rsidRPr="002C05F5" w:rsidRDefault="00D928C1" w:rsidP="001B4275">
            <w:pPr>
              <w:pStyle w:val="TableHead"/>
              <w:outlineLvl w:val="9"/>
              <w:rPr>
                <w:rtl/>
              </w:rPr>
            </w:pPr>
            <w:r w:rsidRPr="002C05F5">
              <w:rPr>
                <w:rtl/>
              </w:rPr>
              <w:t>"פרק ג'</w:t>
            </w:r>
            <w:r>
              <w:rPr>
                <w:rFonts w:hint="cs"/>
                <w:rtl/>
              </w:rPr>
              <w:t>2</w:t>
            </w:r>
            <w:r w:rsidRPr="002C05F5">
              <w:rPr>
                <w:rtl/>
              </w:rPr>
              <w:t>: עבירות ועונשים בסם הקנבוס</w:t>
            </w:r>
          </w:p>
        </w:tc>
      </w:tr>
      <w:tr w:rsidR="00D928C1" w14:paraId="75A8598D" w14:textId="77777777" w:rsidTr="001B4275">
        <w:trPr>
          <w:cantSplit/>
        </w:trPr>
        <w:tc>
          <w:tcPr>
            <w:tcW w:w="1869" w:type="dxa"/>
          </w:tcPr>
          <w:p w14:paraId="28E3F428" w14:textId="77777777" w:rsidR="00D928C1" w:rsidRDefault="00D928C1" w:rsidP="00827A49">
            <w:pPr>
              <w:pStyle w:val="TableSideHeading"/>
              <w:keepLines w:val="0"/>
            </w:pPr>
          </w:p>
        </w:tc>
        <w:tc>
          <w:tcPr>
            <w:tcW w:w="623" w:type="dxa"/>
          </w:tcPr>
          <w:p w14:paraId="4C1A6C2F" w14:textId="77777777" w:rsidR="00D928C1" w:rsidRDefault="00D928C1" w:rsidP="00827A49">
            <w:pPr>
              <w:pStyle w:val="TableText"/>
              <w:keepLines w:val="0"/>
            </w:pPr>
          </w:p>
        </w:tc>
        <w:tc>
          <w:tcPr>
            <w:tcW w:w="1872" w:type="dxa"/>
            <w:gridSpan w:val="3"/>
          </w:tcPr>
          <w:p w14:paraId="2CB5361F" w14:textId="77777777" w:rsidR="00D928C1" w:rsidRDefault="00D928C1" w:rsidP="00827A49">
            <w:pPr>
              <w:pStyle w:val="TableInnerSideHeading"/>
            </w:pPr>
            <w:r>
              <w:rPr>
                <w:rFonts w:hint="cs"/>
                <w:rtl/>
              </w:rPr>
              <w:t>הגדרות</w:t>
            </w:r>
          </w:p>
        </w:tc>
        <w:tc>
          <w:tcPr>
            <w:tcW w:w="624" w:type="dxa"/>
          </w:tcPr>
          <w:p w14:paraId="3EE9FE15" w14:textId="77777777" w:rsidR="00D928C1" w:rsidRDefault="00D928C1" w:rsidP="00827A49">
            <w:pPr>
              <w:pStyle w:val="TableText"/>
            </w:pPr>
            <w:r>
              <w:rPr>
                <w:rFonts w:hint="cs"/>
                <w:rtl/>
              </w:rPr>
              <w:t>25טז.</w:t>
            </w:r>
          </w:p>
        </w:tc>
        <w:tc>
          <w:tcPr>
            <w:tcW w:w="4648" w:type="dxa"/>
          </w:tcPr>
          <w:p w14:paraId="31C535A9" w14:textId="77777777" w:rsidR="00D928C1" w:rsidRPr="001B4275" w:rsidRDefault="00D928C1" w:rsidP="001B4275">
            <w:pPr>
              <w:pStyle w:val="TableBlock"/>
            </w:pPr>
            <w:r w:rsidRPr="001B4275">
              <w:rPr>
                <w:rFonts w:hint="cs"/>
                <w:rtl/>
              </w:rPr>
              <w:t xml:space="preserve">בפרק זה </w:t>
            </w:r>
            <w:r w:rsidRPr="001B4275">
              <w:rPr>
                <w:rtl/>
              </w:rPr>
              <w:t>–</w:t>
            </w:r>
          </w:p>
        </w:tc>
      </w:tr>
      <w:tr w:rsidR="00D928C1" w:rsidRPr="004F5039" w14:paraId="52D8786A" w14:textId="77777777" w:rsidTr="001B4275">
        <w:trPr>
          <w:cantSplit/>
        </w:trPr>
        <w:tc>
          <w:tcPr>
            <w:tcW w:w="1869" w:type="dxa"/>
          </w:tcPr>
          <w:p w14:paraId="56806929" w14:textId="77777777" w:rsidR="00D928C1" w:rsidRDefault="00D928C1" w:rsidP="00827A49">
            <w:pPr>
              <w:pStyle w:val="TableSideHeading"/>
            </w:pPr>
          </w:p>
        </w:tc>
        <w:tc>
          <w:tcPr>
            <w:tcW w:w="623" w:type="dxa"/>
          </w:tcPr>
          <w:p w14:paraId="174F3C50" w14:textId="77777777" w:rsidR="00D928C1" w:rsidRDefault="00D928C1" w:rsidP="00827A49">
            <w:pPr>
              <w:pStyle w:val="TableText"/>
            </w:pPr>
          </w:p>
        </w:tc>
        <w:tc>
          <w:tcPr>
            <w:tcW w:w="624" w:type="dxa"/>
          </w:tcPr>
          <w:p w14:paraId="55C98A8C" w14:textId="77777777" w:rsidR="00D928C1" w:rsidRDefault="00D928C1" w:rsidP="00827A49">
            <w:pPr>
              <w:pStyle w:val="TableText"/>
            </w:pPr>
          </w:p>
        </w:tc>
        <w:tc>
          <w:tcPr>
            <w:tcW w:w="624" w:type="dxa"/>
          </w:tcPr>
          <w:p w14:paraId="2FD5139F" w14:textId="77777777" w:rsidR="00D928C1" w:rsidRDefault="00D928C1" w:rsidP="00827A49">
            <w:pPr>
              <w:pStyle w:val="TableText"/>
            </w:pPr>
          </w:p>
        </w:tc>
        <w:tc>
          <w:tcPr>
            <w:tcW w:w="624" w:type="dxa"/>
          </w:tcPr>
          <w:p w14:paraId="1C5E90C8" w14:textId="77777777" w:rsidR="00D928C1" w:rsidRDefault="00D928C1" w:rsidP="00827A49">
            <w:pPr>
              <w:pStyle w:val="TableText"/>
            </w:pPr>
          </w:p>
        </w:tc>
        <w:tc>
          <w:tcPr>
            <w:tcW w:w="624" w:type="dxa"/>
          </w:tcPr>
          <w:p w14:paraId="72E51036" w14:textId="77777777" w:rsidR="00D928C1" w:rsidRDefault="00D928C1" w:rsidP="00827A49">
            <w:pPr>
              <w:pStyle w:val="TableText"/>
            </w:pPr>
          </w:p>
        </w:tc>
        <w:tc>
          <w:tcPr>
            <w:tcW w:w="4648" w:type="dxa"/>
          </w:tcPr>
          <w:p w14:paraId="58ABD35D" w14:textId="77777777" w:rsidR="00D928C1" w:rsidRPr="001B4275" w:rsidRDefault="00D928C1" w:rsidP="001B4275">
            <w:pPr>
              <w:pStyle w:val="TableBlock"/>
              <w:rPr>
                <w:rtl/>
              </w:rPr>
            </w:pPr>
            <w:r w:rsidRPr="001B4275">
              <w:rPr>
                <w:rFonts w:hint="cs"/>
                <w:rtl/>
              </w:rPr>
              <w:t xml:space="preserve">"כמות זרעים לשימוש עצמי" </w:t>
            </w:r>
            <w:r w:rsidRPr="001B4275">
              <w:rPr>
                <w:rtl/>
              </w:rPr>
              <w:t>–</w:t>
            </w:r>
            <w:r w:rsidRPr="001B4275">
              <w:rPr>
                <w:rFonts w:hint="cs"/>
                <w:rtl/>
              </w:rPr>
              <w:t xml:space="preserve"> כמות של עד 15 זרעים;</w:t>
            </w:r>
          </w:p>
        </w:tc>
      </w:tr>
      <w:tr w:rsidR="00D928C1" w:rsidRPr="004F5039" w14:paraId="711AC7CD" w14:textId="77777777" w:rsidTr="001B4275">
        <w:trPr>
          <w:cantSplit/>
        </w:trPr>
        <w:tc>
          <w:tcPr>
            <w:tcW w:w="1869" w:type="dxa"/>
          </w:tcPr>
          <w:p w14:paraId="55906E59" w14:textId="77777777" w:rsidR="00D928C1" w:rsidRDefault="00D928C1" w:rsidP="00827A49">
            <w:pPr>
              <w:pStyle w:val="TableSideHeading"/>
            </w:pPr>
          </w:p>
        </w:tc>
        <w:tc>
          <w:tcPr>
            <w:tcW w:w="623" w:type="dxa"/>
          </w:tcPr>
          <w:p w14:paraId="20E61F21" w14:textId="77777777" w:rsidR="00D928C1" w:rsidRDefault="00D928C1" w:rsidP="00827A49">
            <w:pPr>
              <w:pStyle w:val="TableText"/>
            </w:pPr>
          </w:p>
        </w:tc>
        <w:tc>
          <w:tcPr>
            <w:tcW w:w="624" w:type="dxa"/>
          </w:tcPr>
          <w:p w14:paraId="374503D0" w14:textId="77777777" w:rsidR="00D928C1" w:rsidRDefault="00D928C1" w:rsidP="00827A49">
            <w:pPr>
              <w:pStyle w:val="TableText"/>
            </w:pPr>
          </w:p>
        </w:tc>
        <w:tc>
          <w:tcPr>
            <w:tcW w:w="624" w:type="dxa"/>
          </w:tcPr>
          <w:p w14:paraId="6DB01FB2" w14:textId="77777777" w:rsidR="00D928C1" w:rsidRDefault="00D928C1" w:rsidP="00827A49">
            <w:pPr>
              <w:pStyle w:val="TableText"/>
            </w:pPr>
          </w:p>
        </w:tc>
        <w:tc>
          <w:tcPr>
            <w:tcW w:w="624" w:type="dxa"/>
          </w:tcPr>
          <w:p w14:paraId="18BCE767" w14:textId="77777777" w:rsidR="00D928C1" w:rsidRDefault="00D928C1" w:rsidP="00827A49">
            <w:pPr>
              <w:pStyle w:val="TableText"/>
            </w:pPr>
          </w:p>
        </w:tc>
        <w:tc>
          <w:tcPr>
            <w:tcW w:w="624" w:type="dxa"/>
          </w:tcPr>
          <w:p w14:paraId="22061816" w14:textId="77777777" w:rsidR="00D928C1" w:rsidRDefault="00D928C1" w:rsidP="00827A49">
            <w:pPr>
              <w:pStyle w:val="TableText"/>
            </w:pPr>
          </w:p>
        </w:tc>
        <w:tc>
          <w:tcPr>
            <w:tcW w:w="4648" w:type="dxa"/>
          </w:tcPr>
          <w:p w14:paraId="5ED6CA46" w14:textId="77777777" w:rsidR="00D928C1" w:rsidRPr="001B4275" w:rsidRDefault="00D928C1" w:rsidP="001B4275">
            <w:pPr>
              <w:pStyle w:val="TableBlock"/>
              <w:rPr>
                <w:rtl/>
              </w:rPr>
            </w:pPr>
            <w:r w:rsidRPr="001B4275">
              <w:rPr>
                <w:rFonts w:hint="cs"/>
                <w:rtl/>
              </w:rPr>
              <w:t xml:space="preserve">"כמות לשימוש עצמי" </w:t>
            </w:r>
            <w:r w:rsidRPr="001B4275">
              <w:rPr>
                <w:rtl/>
              </w:rPr>
              <w:t>–</w:t>
            </w:r>
            <w:r w:rsidRPr="001B4275">
              <w:rPr>
                <w:rFonts w:hint="cs"/>
                <w:rtl/>
              </w:rPr>
              <w:t xml:space="preserve"> כמות של עד 50 גרם;</w:t>
            </w:r>
          </w:p>
        </w:tc>
      </w:tr>
      <w:tr w:rsidR="00D928C1" w:rsidRPr="004F5039" w14:paraId="5847CADB" w14:textId="77777777" w:rsidTr="001B4275">
        <w:trPr>
          <w:cantSplit/>
        </w:trPr>
        <w:tc>
          <w:tcPr>
            <w:tcW w:w="1869" w:type="dxa"/>
          </w:tcPr>
          <w:p w14:paraId="2B7004A7" w14:textId="77777777" w:rsidR="00D928C1" w:rsidRDefault="00D928C1" w:rsidP="00827A49">
            <w:pPr>
              <w:pStyle w:val="TableSideHeading"/>
            </w:pPr>
          </w:p>
        </w:tc>
        <w:tc>
          <w:tcPr>
            <w:tcW w:w="623" w:type="dxa"/>
          </w:tcPr>
          <w:p w14:paraId="036F33D8" w14:textId="77777777" w:rsidR="00D928C1" w:rsidRDefault="00D928C1" w:rsidP="00827A49">
            <w:pPr>
              <w:pStyle w:val="TableText"/>
            </w:pPr>
          </w:p>
        </w:tc>
        <w:tc>
          <w:tcPr>
            <w:tcW w:w="624" w:type="dxa"/>
          </w:tcPr>
          <w:p w14:paraId="5C248948" w14:textId="77777777" w:rsidR="00D928C1" w:rsidRDefault="00D928C1" w:rsidP="00827A49">
            <w:pPr>
              <w:pStyle w:val="TableText"/>
            </w:pPr>
          </w:p>
        </w:tc>
        <w:tc>
          <w:tcPr>
            <w:tcW w:w="624" w:type="dxa"/>
          </w:tcPr>
          <w:p w14:paraId="00B3889F" w14:textId="77777777" w:rsidR="00D928C1" w:rsidRDefault="00D928C1" w:rsidP="00827A49">
            <w:pPr>
              <w:pStyle w:val="TableText"/>
            </w:pPr>
          </w:p>
        </w:tc>
        <w:tc>
          <w:tcPr>
            <w:tcW w:w="624" w:type="dxa"/>
          </w:tcPr>
          <w:p w14:paraId="028CD9BD" w14:textId="77777777" w:rsidR="00D928C1" w:rsidRDefault="00D928C1" w:rsidP="00827A49">
            <w:pPr>
              <w:pStyle w:val="TableText"/>
            </w:pPr>
          </w:p>
        </w:tc>
        <w:tc>
          <w:tcPr>
            <w:tcW w:w="624" w:type="dxa"/>
          </w:tcPr>
          <w:p w14:paraId="7089CDF2" w14:textId="77777777" w:rsidR="00D928C1" w:rsidRDefault="00D928C1" w:rsidP="00827A49">
            <w:pPr>
              <w:pStyle w:val="TableText"/>
            </w:pPr>
          </w:p>
        </w:tc>
        <w:tc>
          <w:tcPr>
            <w:tcW w:w="4648" w:type="dxa"/>
          </w:tcPr>
          <w:p w14:paraId="71AEC1A5" w14:textId="77777777" w:rsidR="00D928C1" w:rsidRPr="001B4275" w:rsidRDefault="00D928C1" w:rsidP="001B4275">
            <w:pPr>
              <w:pStyle w:val="TableBlock"/>
              <w:rPr>
                <w:rtl/>
              </w:rPr>
            </w:pPr>
            <w:r w:rsidRPr="001B4275">
              <w:rPr>
                <w:rFonts w:hint="cs"/>
                <w:rtl/>
              </w:rPr>
              <w:t xml:space="preserve">"קנבוס" </w:t>
            </w:r>
            <w:r w:rsidRPr="001B4275">
              <w:rPr>
                <w:rtl/>
              </w:rPr>
              <w:t>–</w:t>
            </w:r>
            <w:r w:rsidRPr="001B4275">
              <w:rPr>
                <w:rFonts w:hint="cs"/>
                <w:rtl/>
              </w:rPr>
              <w:t xml:space="preserve"> קנבוס לרבות שרף של קנבוס.</w:t>
            </w:r>
          </w:p>
        </w:tc>
      </w:tr>
      <w:tr w:rsidR="00D928C1" w14:paraId="5AF9446F" w14:textId="77777777" w:rsidTr="001B4275">
        <w:trPr>
          <w:cantSplit/>
        </w:trPr>
        <w:tc>
          <w:tcPr>
            <w:tcW w:w="1869" w:type="dxa"/>
          </w:tcPr>
          <w:p w14:paraId="553E0D66" w14:textId="77777777" w:rsidR="00D928C1" w:rsidRDefault="00D928C1" w:rsidP="00827A49">
            <w:pPr>
              <w:pStyle w:val="TableSideHeading"/>
              <w:keepLines w:val="0"/>
            </w:pPr>
          </w:p>
        </w:tc>
        <w:tc>
          <w:tcPr>
            <w:tcW w:w="623" w:type="dxa"/>
          </w:tcPr>
          <w:p w14:paraId="4894D3BA" w14:textId="77777777" w:rsidR="00D928C1" w:rsidRDefault="00D928C1" w:rsidP="00827A49">
            <w:pPr>
              <w:pStyle w:val="TableText"/>
              <w:keepLines w:val="0"/>
            </w:pPr>
          </w:p>
        </w:tc>
        <w:tc>
          <w:tcPr>
            <w:tcW w:w="1872" w:type="dxa"/>
            <w:gridSpan w:val="3"/>
          </w:tcPr>
          <w:p w14:paraId="108B5FF7" w14:textId="77777777" w:rsidR="00D928C1" w:rsidRDefault="00D928C1" w:rsidP="00827A49">
            <w:pPr>
              <w:pStyle w:val="TableInnerSideHeading"/>
            </w:pPr>
            <w:r>
              <w:rPr>
                <w:rFonts w:hint="cs"/>
                <w:rtl/>
              </w:rPr>
              <w:t>אחריות פלילית</w:t>
            </w:r>
          </w:p>
        </w:tc>
        <w:tc>
          <w:tcPr>
            <w:tcW w:w="624" w:type="dxa"/>
          </w:tcPr>
          <w:p w14:paraId="4DED2E98" w14:textId="77777777" w:rsidR="00D928C1" w:rsidRDefault="00D928C1" w:rsidP="00827A49">
            <w:pPr>
              <w:pStyle w:val="TableText"/>
            </w:pPr>
            <w:r>
              <w:rPr>
                <w:rFonts w:hint="cs"/>
                <w:rtl/>
              </w:rPr>
              <w:t>25יז.</w:t>
            </w:r>
          </w:p>
        </w:tc>
        <w:tc>
          <w:tcPr>
            <w:tcW w:w="4648" w:type="dxa"/>
          </w:tcPr>
          <w:p w14:paraId="1F2148F9" w14:textId="77777777" w:rsidR="00D928C1" w:rsidRPr="001B4275" w:rsidRDefault="00D928C1" w:rsidP="001B4275">
            <w:pPr>
              <w:pStyle w:val="TableBlock"/>
            </w:pPr>
            <w:r w:rsidRPr="001B4275">
              <w:rPr>
                <w:rFonts w:hint="cs"/>
                <w:rtl/>
              </w:rPr>
              <w:t>לא יישא בגיר באחריות פלילית בשל עבירה לפי סעיף 7 בשל החזקה של קנבוס במקום שאינו ציבורי, בכמות לשימוש עצמי או בכמות זרעים לשימוש עצמי, או בשל שימוש בקנבוס בנסיבות כאמור.</w:t>
            </w:r>
          </w:p>
        </w:tc>
      </w:tr>
      <w:tr w:rsidR="00D928C1" w14:paraId="0086F52C" w14:textId="77777777" w:rsidTr="001B4275">
        <w:trPr>
          <w:cantSplit/>
        </w:trPr>
        <w:tc>
          <w:tcPr>
            <w:tcW w:w="1869" w:type="dxa"/>
          </w:tcPr>
          <w:p w14:paraId="27C33735" w14:textId="77777777" w:rsidR="00D928C1" w:rsidRDefault="00D928C1" w:rsidP="00827A49">
            <w:pPr>
              <w:pStyle w:val="TableSideHeading"/>
              <w:keepLines w:val="0"/>
            </w:pPr>
          </w:p>
        </w:tc>
        <w:tc>
          <w:tcPr>
            <w:tcW w:w="623" w:type="dxa"/>
          </w:tcPr>
          <w:p w14:paraId="0729C0C7" w14:textId="77777777" w:rsidR="00D928C1" w:rsidRDefault="00D928C1" w:rsidP="00827A49">
            <w:pPr>
              <w:pStyle w:val="TableText"/>
              <w:keepLines w:val="0"/>
            </w:pPr>
          </w:p>
        </w:tc>
        <w:tc>
          <w:tcPr>
            <w:tcW w:w="1872" w:type="dxa"/>
            <w:gridSpan w:val="3"/>
          </w:tcPr>
          <w:p w14:paraId="67D54192" w14:textId="77777777" w:rsidR="00D928C1" w:rsidRDefault="00D928C1" w:rsidP="00827A49">
            <w:pPr>
              <w:pStyle w:val="TableInnerSideHeading"/>
            </w:pPr>
            <w:r>
              <w:rPr>
                <w:rFonts w:hint="cs"/>
                <w:rtl/>
              </w:rPr>
              <w:t>שימוש אסור בקנבוס</w:t>
            </w:r>
          </w:p>
        </w:tc>
        <w:tc>
          <w:tcPr>
            <w:tcW w:w="624" w:type="dxa"/>
          </w:tcPr>
          <w:p w14:paraId="7B416F7A" w14:textId="77777777" w:rsidR="00D928C1" w:rsidRDefault="00D928C1" w:rsidP="00827A49">
            <w:pPr>
              <w:pStyle w:val="TableText"/>
            </w:pPr>
            <w:r>
              <w:rPr>
                <w:rFonts w:hint="cs"/>
                <w:rtl/>
              </w:rPr>
              <w:t>25יח.</w:t>
            </w:r>
          </w:p>
        </w:tc>
        <w:tc>
          <w:tcPr>
            <w:tcW w:w="4648" w:type="dxa"/>
          </w:tcPr>
          <w:p w14:paraId="185E9BAD" w14:textId="71D9182C" w:rsidR="00D928C1" w:rsidRPr="001B4275" w:rsidRDefault="00D928C1" w:rsidP="0010154F">
            <w:pPr>
              <w:pStyle w:val="TableBlock"/>
            </w:pPr>
            <w:r w:rsidRPr="001B4275">
              <w:rPr>
                <w:rFonts w:hint="cs"/>
                <w:rtl/>
              </w:rPr>
              <w:t xml:space="preserve">על אף האמור בסעיף 7, בגיר המשתמש בקנבוס בכמות לשימוש עצמי בשטח ציבורי,  דינו </w:t>
            </w:r>
            <w:r w:rsidRPr="001B4275">
              <w:rPr>
                <w:rtl/>
              </w:rPr>
              <w:t>–</w:t>
            </w:r>
            <w:r w:rsidRPr="001B4275">
              <w:rPr>
                <w:rFonts w:hint="cs"/>
                <w:rtl/>
              </w:rPr>
              <w:t xml:space="preserve"> קנס 500 שקלים חדשים; לעניין זה, "שטח ציבורי" </w:t>
            </w:r>
            <w:r w:rsidRPr="001B4275">
              <w:rPr>
                <w:rtl/>
              </w:rPr>
              <w:t>–</w:t>
            </w:r>
            <w:r w:rsidRPr="001B4275">
              <w:rPr>
                <w:rFonts w:hint="cs"/>
                <w:rtl/>
              </w:rPr>
              <w:t xml:space="preserve"> כמשמעותו ב</w:t>
            </w:r>
            <w:r w:rsidRPr="001B4275">
              <w:rPr>
                <w:rtl/>
              </w:rPr>
              <w:t xml:space="preserve">חוק למניעת העישון במקומות ציבוריים והחשיפה לעישון, </w:t>
            </w:r>
            <w:r w:rsidRPr="001B4275">
              <w:rPr>
                <w:rFonts w:hint="cs"/>
                <w:rtl/>
              </w:rPr>
              <w:t>ה</w:t>
            </w:r>
            <w:r w:rsidRPr="001B4275">
              <w:rPr>
                <w:rtl/>
              </w:rPr>
              <w:t>תשמ"ג</w:t>
            </w:r>
            <w:r w:rsidRPr="001B4275">
              <w:rPr>
                <w:rFonts w:hint="cs"/>
                <w:rtl/>
              </w:rPr>
              <w:t>–</w:t>
            </w:r>
            <w:r w:rsidRPr="001B4275">
              <w:rPr>
                <w:rtl/>
              </w:rPr>
              <w:t>1983</w:t>
            </w:r>
            <w:r w:rsidR="0010154F">
              <w:rPr>
                <w:rStyle w:val="a6"/>
                <w:rtl/>
              </w:rPr>
              <w:footnoteReference w:id="3"/>
            </w:r>
            <w:r w:rsidRPr="001B4275">
              <w:rPr>
                <w:rFonts w:hint="cs"/>
                <w:rtl/>
              </w:rPr>
              <w:t>.</w:t>
            </w:r>
          </w:p>
        </w:tc>
      </w:tr>
      <w:tr w:rsidR="00D928C1" w14:paraId="4E81526C" w14:textId="77777777" w:rsidTr="001B4275">
        <w:trPr>
          <w:cantSplit/>
        </w:trPr>
        <w:tc>
          <w:tcPr>
            <w:tcW w:w="1869" w:type="dxa"/>
          </w:tcPr>
          <w:p w14:paraId="54784ABC" w14:textId="77777777" w:rsidR="00D928C1" w:rsidRDefault="00D928C1" w:rsidP="00827A49">
            <w:pPr>
              <w:pStyle w:val="TableSideHeading"/>
              <w:keepLines w:val="0"/>
            </w:pPr>
          </w:p>
        </w:tc>
        <w:tc>
          <w:tcPr>
            <w:tcW w:w="623" w:type="dxa"/>
          </w:tcPr>
          <w:p w14:paraId="25D7FF84" w14:textId="77777777" w:rsidR="00D928C1" w:rsidRDefault="00D928C1" w:rsidP="00827A49">
            <w:pPr>
              <w:pStyle w:val="TableText"/>
              <w:keepLines w:val="0"/>
            </w:pPr>
          </w:p>
        </w:tc>
        <w:tc>
          <w:tcPr>
            <w:tcW w:w="1872" w:type="dxa"/>
            <w:gridSpan w:val="3"/>
          </w:tcPr>
          <w:p w14:paraId="6A723B80" w14:textId="77777777" w:rsidR="00D928C1" w:rsidRDefault="00D928C1" w:rsidP="00827A49">
            <w:pPr>
              <w:pStyle w:val="TableInnerSideHeading"/>
            </w:pPr>
            <w:r>
              <w:rPr>
                <w:rFonts w:hint="cs"/>
                <w:rtl/>
              </w:rPr>
              <w:t>החזקה אסורה של קנבוס</w:t>
            </w:r>
          </w:p>
        </w:tc>
        <w:tc>
          <w:tcPr>
            <w:tcW w:w="624" w:type="dxa"/>
          </w:tcPr>
          <w:p w14:paraId="3B618174" w14:textId="77777777" w:rsidR="00D928C1" w:rsidRDefault="00D928C1" w:rsidP="00827A49">
            <w:pPr>
              <w:pStyle w:val="TableText"/>
            </w:pPr>
            <w:r>
              <w:rPr>
                <w:rFonts w:hint="cs"/>
                <w:rtl/>
              </w:rPr>
              <w:t>25יט.</w:t>
            </w:r>
          </w:p>
        </w:tc>
        <w:tc>
          <w:tcPr>
            <w:tcW w:w="4648" w:type="dxa"/>
          </w:tcPr>
          <w:p w14:paraId="26B024D2" w14:textId="4FF21EB9" w:rsidR="00D928C1" w:rsidRPr="001B4275" w:rsidRDefault="00D928C1" w:rsidP="001B4275">
            <w:pPr>
              <w:pStyle w:val="TableBlock"/>
            </w:pPr>
            <w:r w:rsidRPr="001B4275">
              <w:rPr>
                <w:rFonts w:hint="cs"/>
                <w:rtl/>
              </w:rPr>
              <w:t xml:space="preserve">על אף האמור בסעיף 7, המחזיק קנבוס בכמות העולה על הכמות לשימוש עצמי שלא לצורך סחר, דינו </w:t>
            </w:r>
            <w:r w:rsidRPr="001B4275">
              <w:rPr>
                <w:rtl/>
              </w:rPr>
              <w:t>–</w:t>
            </w:r>
            <w:r w:rsidRPr="001B4275">
              <w:rPr>
                <w:rFonts w:hint="cs"/>
                <w:rtl/>
              </w:rPr>
              <w:t xml:space="preserve"> קנס 2</w:t>
            </w:r>
            <w:r w:rsidR="00685107" w:rsidRPr="001B4275">
              <w:rPr>
                <w:rFonts w:hint="cs"/>
                <w:rtl/>
              </w:rPr>
              <w:t>,</w:t>
            </w:r>
            <w:r w:rsidRPr="001B4275">
              <w:rPr>
                <w:rFonts w:hint="cs"/>
                <w:rtl/>
              </w:rPr>
              <w:t>000 שקלים חדשים.</w:t>
            </w:r>
          </w:p>
        </w:tc>
      </w:tr>
      <w:tr w:rsidR="001B4275" w14:paraId="3CC16678" w14:textId="77777777" w:rsidTr="001B4275">
        <w:trPr>
          <w:cantSplit/>
          <w:trHeight w:val="60"/>
        </w:trPr>
        <w:tc>
          <w:tcPr>
            <w:tcW w:w="1869" w:type="dxa"/>
          </w:tcPr>
          <w:p w14:paraId="707CB60C" w14:textId="77777777" w:rsidR="001B4275" w:rsidRDefault="001B4275" w:rsidP="001B4275">
            <w:pPr>
              <w:pStyle w:val="TableSideHeading"/>
            </w:pPr>
          </w:p>
        </w:tc>
        <w:tc>
          <w:tcPr>
            <w:tcW w:w="623" w:type="dxa"/>
          </w:tcPr>
          <w:p w14:paraId="7B60EA09" w14:textId="77777777" w:rsidR="001B4275" w:rsidRDefault="001B4275" w:rsidP="001B4275">
            <w:pPr>
              <w:pStyle w:val="TableText"/>
            </w:pPr>
          </w:p>
        </w:tc>
        <w:tc>
          <w:tcPr>
            <w:tcW w:w="1872" w:type="dxa"/>
            <w:gridSpan w:val="3"/>
          </w:tcPr>
          <w:p w14:paraId="73EEFEDC" w14:textId="48ECB012" w:rsidR="001B4275" w:rsidRDefault="001B4275" w:rsidP="001B4275">
            <w:pPr>
              <w:pStyle w:val="TableText"/>
            </w:pPr>
            <w:r>
              <w:rPr>
                <w:rFonts w:hint="cs"/>
                <w:rtl/>
              </w:rPr>
              <w:t>פטור מרישום פלילי</w:t>
            </w:r>
          </w:p>
        </w:tc>
        <w:tc>
          <w:tcPr>
            <w:tcW w:w="624" w:type="dxa"/>
          </w:tcPr>
          <w:p w14:paraId="32B44492" w14:textId="76676C5B" w:rsidR="001B4275" w:rsidRDefault="001B4275" w:rsidP="001B4275">
            <w:pPr>
              <w:pStyle w:val="TableText"/>
            </w:pPr>
            <w:r>
              <w:rPr>
                <w:rFonts w:hint="cs"/>
                <w:rtl/>
              </w:rPr>
              <w:t>25כ.</w:t>
            </w:r>
          </w:p>
        </w:tc>
        <w:tc>
          <w:tcPr>
            <w:tcW w:w="4648" w:type="dxa"/>
          </w:tcPr>
          <w:p w14:paraId="48B75840" w14:textId="17924F7B" w:rsidR="001B4275" w:rsidRPr="001B4275" w:rsidRDefault="001B4275" w:rsidP="0010154F">
            <w:pPr>
              <w:pStyle w:val="TableBlock"/>
            </w:pPr>
            <w:r w:rsidRPr="001B4275">
              <w:rPr>
                <w:rFonts w:hint="cs"/>
                <w:rtl/>
              </w:rPr>
              <w:t>הרשעה של בגיר בעבירה לפי סעיף 25יח או סעיף 25יט, לא תהווה פריט רישום במרשם הפלילי, כמשמעו בחוק המידע הפלילי ותקנת השבים, התשע"ט-2019</w:t>
            </w:r>
            <w:r w:rsidR="0010154F">
              <w:rPr>
                <w:rStyle w:val="a6"/>
                <w:rtl/>
              </w:rPr>
              <w:footnoteReference w:id="4"/>
            </w:r>
            <w:r w:rsidRPr="001B4275">
              <w:rPr>
                <w:rFonts w:hint="cs"/>
                <w:rtl/>
              </w:rPr>
              <w:t>.</w:t>
            </w:r>
          </w:p>
        </w:tc>
      </w:tr>
      <w:tr w:rsidR="001B4275" w14:paraId="708FA8BE" w14:textId="77777777" w:rsidTr="001B4275">
        <w:trPr>
          <w:cantSplit/>
        </w:trPr>
        <w:tc>
          <w:tcPr>
            <w:tcW w:w="1869" w:type="dxa"/>
          </w:tcPr>
          <w:p w14:paraId="7577167C" w14:textId="77777777" w:rsidR="001B4275" w:rsidRDefault="001B4275" w:rsidP="001B4275">
            <w:pPr>
              <w:pStyle w:val="TableSideHeading"/>
              <w:keepLines w:val="0"/>
            </w:pPr>
          </w:p>
        </w:tc>
        <w:tc>
          <w:tcPr>
            <w:tcW w:w="623" w:type="dxa"/>
          </w:tcPr>
          <w:p w14:paraId="74A68216" w14:textId="77777777" w:rsidR="001B4275" w:rsidRDefault="001B4275" w:rsidP="001B4275">
            <w:pPr>
              <w:pStyle w:val="TableText"/>
              <w:keepLines w:val="0"/>
            </w:pPr>
          </w:p>
        </w:tc>
        <w:tc>
          <w:tcPr>
            <w:tcW w:w="1872" w:type="dxa"/>
            <w:gridSpan w:val="3"/>
          </w:tcPr>
          <w:p w14:paraId="32D98DB0" w14:textId="77777777" w:rsidR="001B4275" w:rsidRDefault="001B4275" w:rsidP="001B4275">
            <w:pPr>
              <w:pStyle w:val="TableInnerSideHeading"/>
            </w:pPr>
            <w:r>
              <w:rPr>
                <w:rFonts w:hint="cs"/>
                <w:rtl/>
              </w:rPr>
              <w:t>רישום פלילי</w:t>
            </w:r>
          </w:p>
        </w:tc>
        <w:tc>
          <w:tcPr>
            <w:tcW w:w="624" w:type="dxa"/>
          </w:tcPr>
          <w:p w14:paraId="5F1D70FA" w14:textId="77777777" w:rsidR="001B4275" w:rsidRDefault="001B4275" w:rsidP="001B4275">
            <w:pPr>
              <w:pStyle w:val="TableText"/>
            </w:pPr>
            <w:r>
              <w:rPr>
                <w:rFonts w:hint="cs"/>
                <w:rtl/>
              </w:rPr>
              <w:t>25כא.</w:t>
            </w:r>
          </w:p>
        </w:tc>
        <w:tc>
          <w:tcPr>
            <w:tcW w:w="4648" w:type="dxa"/>
          </w:tcPr>
          <w:p w14:paraId="07841113" w14:textId="77777777" w:rsidR="001B4275" w:rsidRPr="001B4275" w:rsidRDefault="001B4275" w:rsidP="001B4275">
            <w:pPr>
              <w:pStyle w:val="TableBlock"/>
            </w:pPr>
            <w:r w:rsidRPr="001B4275">
              <w:rPr>
                <w:rFonts w:hint="cs"/>
                <w:rtl/>
              </w:rPr>
              <w:t>אדם שהורשע בעבירה לפי סעיף 7(א) בנסיבות של שימוש עצמי בקנבוס רשאי להגיש בקשה ליועץ המשפטי לממשלה לביטול הרישום הפלילי.</w:t>
            </w:r>
          </w:p>
        </w:tc>
      </w:tr>
      <w:tr w:rsidR="001B4275" w:rsidRPr="00C34DE2" w14:paraId="0E65E9FA" w14:textId="77777777" w:rsidTr="001B4275">
        <w:trPr>
          <w:cantSplit/>
        </w:trPr>
        <w:tc>
          <w:tcPr>
            <w:tcW w:w="1869" w:type="dxa"/>
          </w:tcPr>
          <w:p w14:paraId="52496C9F" w14:textId="77777777" w:rsidR="001B4275" w:rsidRPr="00282AF1" w:rsidRDefault="001B4275" w:rsidP="001B4275">
            <w:pPr>
              <w:pStyle w:val="TableSideHeading"/>
            </w:pPr>
            <w:r w:rsidRPr="008A748C">
              <w:rPr>
                <w:rFonts w:hint="cs"/>
                <w:rtl/>
              </w:rPr>
              <w:t>תיקון התוספת</w:t>
            </w:r>
            <w:r>
              <w:rPr>
                <w:rtl/>
              </w:rPr>
              <w:t xml:space="preserve"> </w:t>
            </w:r>
            <w:r w:rsidRPr="008A748C">
              <w:rPr>
                <w:rFonts w:hint="cs"/>
                <w:rtl/>
              </w:rPr>
              <w:t>הראשונה</w:t>
            </w:r>
            <w:r>
              <w:t xml:space="preserve"> </w:t>
            </w:r>
          </w:p>
        </w:tc>
        <w:tc>
          <w:tcPr>
            <w:tcW w:w="623" w:type="dxa"/>
          </w:tcPr>
          <w:p w14:paraId="65D8E34E" w14:textId="77777777" w:rsidR="001B4275" w:rsidRDefault="001B4275" w:rsidP="001B4275">
            <w:pPr>
              <w:pStyle w:val="TableText"/>
              <w:keepLines w:val="0"/>
            </w:pPr>
            <w:r>
              <w:rPr>
                <w:rFonts w:hint="cs"/>
                <w:rtl/>
              </w:rPr>
              <w:t>3.</w:t>
            </w:r>
          </w:p>
        </w:tc>
        <w:tc>
          <w:tcPr>
            <w:tcW w:w="7144" w:type="dxa"/>
            <w:gridSpan w:val="5"/>
          </w:tcPr>
          <w:p w14:paraId="4C95157B" w14:textId="77777777" w:rsidR="001B4275" w:rsidRPr="00C34DE2" w:rsidRDefault="001B4275" w:rsidP="001B4275">
            <w:pPr>
              <w:pStyle w:val="TableBlock"/>
              <w:rPr>
                <w:rtl/>
              </w:rPr>
            </w:pPr>
            <w:r>
              <w:rPr>
                <w:rFonts w:hint="cs"/>
                <w:rtl/>
              </w:rPr>
              <w:t xml:space="preserve">בתוספת הראשונה לפקודה, </w:t>
            </w:r>
            <w:r w:rsidRPr="00FC2097">
              <w:rPr>
                <w:rFonts w:hint="cs"/>
                <w:rtl/>
              </w:rPr>
              <w:t>ב</w:t>
            </w:r>
            <w:r>
              <w:rPr>
                <w:rFonts w:hint="cs"/>
                <w:rtl/>
              </w:rPr>
              <w:t>הגדרה</w:t>
            </w:r>
            <w:r w:rsidRPr="00FC2097">
              <w:rPr>
                <w:rFonts w:hint="cs"/>
                <w:rtl/>
              </w:rPr>
              <w:t xml:space="preserve"> "קנבוס", </w:t>
            </w:r>
            <w:r>
              <w:rPr>
                <w:rFonts w:hint="cs"/>
                <w:rtl/>
              </w:rPr>
              <w:t>אחרי</w:t>
            </w:r>
            <w:r w:rsidRPr="00FC2097">
              <w:rPr>
                <w:rFonts w:hint="cs"/>
                <w:rtl/>
              </w:rPr>
              <w:t xml:space="preserve"> "</w:t>
            </w:r>
            <w:r w:rsidRPr="00FC2097">
              <w:rPr>
                <w:rFonts w:hint="cs"/>
                <w:rtl/>
                <w:lang w:eastAsia="he-IL"/>
              </w:rPr>
              <w:t>המופק מזרעיו</w:t>
            </w:r>
            <w:r w:rsidRPr="00FC2097">
              <w:rPr>
                <w:rFonts w:hint="cs"/>
                <w:rtl/>
              </w:rPr>
              <w:t>" יבוא</w:t>
            </w:r>
            <w:r>
              <w:rPr>
                <w:rFonts w:hint="cs"/>
                <w:rtl/>
              </w:rPr>
              <w:t xml:space="preserve"> </w:t>
            </w:r>
            <w:r w:rsidRPr="004D3232">
              <w:rPr>
                <w:rtl/>
              </w:rPr>
              <w:t>"ולמעט קנאבידול (</w:t>
            </w:r>
            <w:r w:rsidRPr="004D3232">
              <w:t>CBD</w:t>
            </w:r>
            <w:r w:rsidRPr="004D3232">
              <w:rPr>
                <w:rFonts w:hint="cs"/>
                <w:rtl/>
              </w:rPr>
              <w:t>)</w:t>
            </w:r>
            <w:r>
              <w:rPr>
                <w:rFonts w:hint="cs"/>
                <w:rtl/>
              </w:rPr>
              <w:t>.</w:t>
            </w:r>
            <w:r w:rsidRPr="004D3232">
              <w:rPr>
                <w:rFonts w:hint="cs"/>
                <w:rtl/>
              </w:rPr>
              <w:t>"</w:t>
            </w:r>
          </w:p>
        </w:tc>
      </w:tr>
      <w:tr w:rsidR="001B4275" w14:paraId="0E04CB2F" w14:textId="77777777" w:rsidTr="001B4275">
        <w:trPr>
          <w:cantSplit/>
        </w:trPr>
        <w:tc>
          <w:tcPr>
            <w:tcW w:w="1869" w:type="dxa"/>
          </w:tcPr>
          <w:p w14:paraId="76CDCA93" w14:textId="77777777" w:rsidR="001B4275" w:rsidRPr="008A748C" w:rsidRDefault="001B4275" w:rsidP="001B4275">
            <w:pPr>
              <w:pStyle w:val="TableSideHeading"/>
              <w:rPr>
                <w:rtl/>
              </w:rPr>
            </w:pPr>
            <w:r>
              <w:rPr>
                <w:rFonts w:hint="cs"/>
                <w:rtl/>
              </w:rPr>
              <w:t xml:space="preserve">ביטול </w:t>
            </w:r>
            <w:r w:rsidRPr="00357D18">
              <w:rPr>
                <w:rFonts w:hint="cs"/>
                <w:rtl/>
              </w:rPr>
              <w:t>חוק הסמים המסוכנים</w:t>
            </w:r>
            <w:r>
              <w:rPr>
                <w:rFonts w:hint="cs"/>
                <w:rtl/>
              </w:rPr>
              <w:t xml:space="preserve"> </w:t>
            </w:r>
            <w:r>
              <w:rPr>
                <w:rtl/>
              </w:rPr>
              <w:t>–</w:t>
            </w:r>
            <w:r>
              <w:rPr>
                <w:rFonts w:hint="cs"/>
                <w:rtl/>
              </w:rPr>
              <w:t xml:space="preserve"> הוראת שעה</w:t>
            </w:r>
          </w:p>
        </w:tc>
        <w:tc>
          <w:tcPr>
            <w:tcW w:w="623" w:type="dxa"/>
          </w:tcPr>
          <w:p w14:paraId="4FE1506E" w14:textId="77777777" w:rsidR="001B4275" w:rsidRDefault="001B4275" w:rsidP="001B4275">
            <w:pPr>
              <w:pStyle w:val="TableText"/>
              <w:rPr>
                <w:rtl/>
              </w:rPr>
            </w:pPr>
            <w:r>
              <w:rPr>
                <w:rFonts w:hint="cs"/>
                <w:rtl/>
              </w:rPr>
              <w:t>4.</w:t>
            </w:r>
          </w:p>
        </w:tc>
        <w:tc>
          <w:tcPr>
            <w:tcW w:w="7144" w:type="dxa"/>
            <w:gridSpan w:val="5"/>
          </w:tcPr>
          <w:p w14:paraId="11D75C83" w14:textId="2EEE907E" w:rsidR="001B4275" w:rsidRDefault="001B4275" w:rsidP="001B4275">
            <w:pPr>
              <w:pStyle w:val="TableBlock"/>
              <w:rPr>
                <w:rtl/>
              </w:rPr>
            </w:pPr>
            <w:r>
              <w:rPr>
                <w:rFonts w:hint="cs"/>
                <w:rtl/>
              </w:rPr>
              <w:t xml:space="preserve">חוק הסמים המסוכנים (עבירת קנס מיוחדת </w:t>
            </w:r>
            <w:r>
              <w:rPr>
                <w:rtl/>
              </w:rPr>
              <w:t>–</w:t>
            </w:r>
            <w:r>
              <w:rPr>
                <w:rFonts w:hint="cs"/>
                <w:rtl/>
              </w:rPr>
              <w:t xml:space="preserve"> הוראת שעה), התשע"ח</w:t>
            </w:r>
            <w:r>
              <w:rPr>
                <w:rtl/>
              </w:rPr>
              <w:t>–</w:t>
            </w:r>
            <w:r>
              <w:rPr>
                <w:rFonts w:hint="cs"/>
                <w:rtl/>
              </w:rPr>
              <w:t>2018</w:t>
            </w:r>
            <w:r w:rsidRPr="001B4275">
              <w:rPr>
                <w:rStyle w:val="a6"/>
                <w:rFonts w:ascii="David" w:hAnsi="David"/>
                <w:sz w:val="26"/>
                <w:rtl/>
              </w:rPr>
              <w:footnoteReference w:id="5"/>
            </w:r>
            <w:r>
              <w:rPr>
                <w:rFonts w:hint="cs"/>
                <w:rtl/>
              </w:rPr>
              <w:t xml:space="preserve"> </w:t>
            </w:r>
            <w:r>
              <w:rPr>
                <w:rtl/>
              </w:rPr>
              <w:t>–</w:t>
            </w:r>
            <w:r>
              <w:rPr>
                <w:rFonts w:hint="cs"/>
                <w:rtl/>
              </w:rPr>
              <w:t xml:space="preserve"> בטל. </w:t>
            </w:r>
          </w:p>
        </w:tc>
      </w:tr>
    </w:tbl>
    <w:p w14:paraId="15DBDA98" w14:textId="77777777" w:rsidR="002722DF" w:rsidRPr="002213BB" w:rsidRDefault="002722DF" w:rsidP="002722DF">
      <w:pPr>
        <w:pStyle w:val="HeadDivreiHesber"/>
        <w:rPr>
          <w:rtl/>
        </w:rPr>
      </w:pPr>
      <w:r>
        <w:rPr>
          <w:rFonts w:hint="cs"/>
          <w:rtl/>
        </w:rPr>
        <w:t>דברי הסבר</w:t>
      </w:r>
    </w:p>
    <w:p w14:paraId="2E5DC293" w14:textId="77777777" w:rsidR="002722DF" w:rsidRPr="002C05F5" w:rsidRDefault="002722DF" w:rsidP="002722DF">
      <w:pPr>
        <w:pStyle w:val="Hesber"/>
        <w:rPr>
          <w:rtl/>
        </w:rPr>
      </w:pPr>
      <w:r w:rsidRPr="002C05F5">
        <w:rPr>
          <w:rFonts w:hint="cs"/>
          <w:rtl/>
        </w:rPr>
        <w:t xml:space="preserve">מטרת הצעת החוק היא למנוע </w:t>
      </w:r>
      <w:r>
        <w:rPr>
          <w:rFonts w:hint="cs"/>
          <w:rtl/>
        </w:rPr>
        <w:t>הפללה</w:t>
      </w:r>
      <w:r w:rsidRPr="002C05F5">
        <w:rPr>
          <w:rFonts w:hint="cs"/>
          <w:rtl/>
        </w:rPr>
        <w:t xml:space="preserve"> </w:t>
      </w:r>
      <w:r>
        <w:rPr>
          <w:rFonts w:hint="cs"/>
          <w:rtl/>
        </w:rPr>
        <w:t>ש</w:t>
      </w:r>
      <w:r w:rsidRPr="002C05F5">
        <w:rPr>
          <w:rFonts w:hint="cs"/>
          <w:rtl/>
        </w:rPr>
        <w:t>ל</w:t>
      </w:r>
      <w:r>
        <w:rPr>
          <w:rFonts w:hint="cs"/>
          <w:rtl/>
        </w:rPr>
        <w:t xml:space="preserve"> ציבור הבגירים העושים</w:t>
      </w:r>
      <w:r w:rsidRPr="00357D18">
        <w:rPr>
          <w:rFonts w:hint="cs"/>
          <w:rtl/>
        </w:rPr>
        <w:t xml:space="preserve"> </w:t>
      </w:r>
      <w:r>
        <w:rPr>
          <w:rFonts w:hint="cs"/>
          <w:rtl/>
        </w:rPr>
        <w:t>שימוש בקנבוס לצריכה עצמית בלבד ולבטל את הוראת השעה שנחקקה בשנה שעברה שהותירה את הפללת המשתמשים כאמור על כנה</w:t>
      </w:r>
      <w:r w:rsidRPr="002C05F5">
        <w:rPr>
          <w:rFonts w:hint="cs"/>
          <w:rtl/>
        </w:rPr>
        <w:t>.</w:t>
      </w:r>
      <w:r>
        <w:rPr>
          <w:rFonts w:hint="cs"/>
          <w:rtl/>
        </w:rPr>
        <w:t xml:space="preserve"> </w:t>
      </w:r>
    </w:p>
    <w:p w14:paraId="5DFE5492" w14:textId="77777777" w:rsidR="002722DF" w:rsidRPr="002C05F5" w:rsidRDefault="002722DF" w:rsidP="002722DF">
      <w:pPr>
        <w:pStyle w:val="Hesber"/>
        <w:rPr>
          <w:rtl/>
        </w:rPr>
      </w:pPr>
      <w:r w:rsidRPr="002C05F5">
        <w:rPr>
          <w:rFonts w:hint="cs"/>
          <w:rtl/>
        </w:rPr>
        <w:t>למעלה ממיליון ישראלים צורכים קנבוס בצריכה מזדמנת, כאשר ציבור המשתמשים ברובו אינו ציבור עברייני. מדובר באנשים נורמטיביי</w:t>
      </w:r>
      <w:r w:rsidRPr="002C05F5">
        <w:rPr>
          <w:rFonts w:hint="eastAsia"/>
          <w:rtl/>
        </w:rPr>
        <w:t>ם</w:t>
      </w:r>
      <w:r w:rsidRPr="002C05F5">
        <w:rPr>
          <w:rFonts w:hint="cs"/>
          <w:rtl/>
        </w:rPr>
        <w:t xml:space="preserve"> מכל שכבות האוכלוסיי</w:t>
      </w:r>
      <w:r w:rsidRPr="002C05F5">
        <w:rPr>
          <w:rFonts w:hint="eastAsia"/>
          <w:rtl/>
        </w:rPr>
        <w:t>ה</w:t>
      </w:r>
      <w:r>
        <w:rPr>
          <w:rFonts w:hint="cs"/>
          <w:rtl/>
        </w:rPr>
        <w:t>, אנשי אקדמיה, אנשי ציבור</w:t>
      </w:r>
      <w:r w:rsidRPr="002C05F5">
        <w:rPr>
          <w:rFonts w:hint="cs"/>
          <w:rtl/>
        </w:rPr>
        <w:t xml:space="preserve"> ועוד, אשר צורכים קנבוס בשעות הפנאי.</w:t>
      </w:r>
    </w:p>
    <w:p w14:paraId="00FF56B6" w14:textId="5EAE2648" w:rsidR="002722DF" w:rsidRDefault="002722DF" w:rsidP="002722DF">
      <w:pPr>
        <w:pStyle w:val="Hesber"/>
        <w:rPr>
          <w:rtl/>
        </w:rPr>
      </w:pPr>
      <w:r>
        <w:rPr>
          <w:rFonts w:hint="cs"/>
          <w:rtl/>
        </w:rPr>
        <w:t xml:space="preserve">מחקרים רבים, </w:t>
      </w:r>
      <w:r w:rsidRPr="006C62F8">
        <w:rPr>
          <w:rFonts w:hint="cs"/>
          <w:rtl/>
        </w:rPr>
        <w:t>וביניהם דוח של ועדה בין לאומית לבחינת מדיניות הסמים העולמית שהוגש ביוני 2011 לאו"ם,</w:t>
      </w:r>
      <w:r w:rsidRPr="006C62F8">
        <w:rPr>
          <w:rtl/>
        </w:rPr>
        <w:t xml:space="preserve"> דה-קרימינילזציה (אי הפללה) של השימוש בסמים, מרכז המחקר והמידע של הכנסת, אוגוסט 2011)</w:t>
      </w:r>
      <w:r w:rsidRPr="006C62F8">
        <w:rPr>
          <w:rFonts w:hint="cs"/>
          <w:rtl/>
        </w:rPr>
        <w:t>, עסקו בדה-קרימינליזציה של השימוש בסמים</w:t>
      </w:r>
      <w:r w:rsidRPr="002C05F5">
        <w:rPr>
          <w:rFonts w:hint="cs"/>
          <w:rtl/>
        </w:rPr>
        <w:t xml:space="preserve"> והמליצו</w:t>
      </w:r>
      <w:r>
        <w:rPr>
          <w:rFonts w:hint="cs"/>
          <w:rtl/>
        </w:rPr>
        <w:t>,</w:t>
      </w:r>
      <w:r w:rsidRPr="002C05F5">
        <w:rPr>
          <w:rFonts w:hint="cs"/>
          <w:rtl/>
        </w:rPr>
        <w:t xml:space="preserve"> בין היתר</w:t>
      </w:r>
      <w:r>
        <w:rPr>
          <w:rFonts w:hint="cs"/>
          <w:rtl/>
        </w:rPr>
        <w:t>,</w:t>
      </w:r>
      <w:r w:rsidRPr="002C05F5">
        <w:rPr>
          <w:rFonts w:hint="cs"/>
          <w:rtl/>
        </w:rPr>
        <w:t xml:space="preserve"> להפסיק את </w:t>
      </w:r>
      <w:r w:rsidRPr="002C05F5">
        <w:rPr>
          <w:rFonts w:hint="cs"/>
          <w:rtl/>
        </w:rPr>
        <w:lastRenderedPageBreak/>
        <w:t>הקרימינליזציה של העושים שימוש בקנבוס לצריכה עצמית בלבד.</w:t>
      </w:r>
    </w:p>
    <w:p w14:paraId="7B1E9C5B" w14:textId="77777777" w:rsidR="002722DF" w:rsidRPr="002C05F5" w:rsidRDefault="002722DF" w:rsidP="002722DF">
      <w:pPr>
        <w:pStyle w:val="Hesber"/>
        <w:rPr>
          <w:rtl/>
        </w:rPr>
      </w:pPr>
      <w:r w:rsidRPr="002C05F5">
        <w:rPr>
          <w:rFonts w:hint="cs"/>
          <w:rtl/>
        </w:rPr>
        <w:t>ממצאים מעידים כי מרבית עב</w:t>
      </w:r>
      <w:r>
        <w:rPr>
          <w:rFonts w:hint="cs"/>
          <w:rtl/>
        </w:rPr>
        <w:t>ירות הסמים שבהן נפתחו תיקים ה</w:t>
      </w:r>
      <w:r w:rsidRPr="002C05F5">
        <w:rPr>
          <w:rFonts w:hint="cs"/>
          <w:rtl/>
        </w:rPr>
        <w:t>ן עבירות של שי</w:t>
      </w:r>
      <w:r>
        <w:rPr>
          <w:rFonts w:hint="cs"/>
          <w:rtl/>
        </w:rPr>
        <w:t>מוש והחזקה ורק מיעוט העבירות ה</w:t>
      </w:r>
      <w:r w:rsidRPr="002C05F5">
        <w:rPr>
          <w:rFonts w:hint="cs"/>
          <w:rtl/>
        </w:rPr>
        <w:t>ן עבירות סחר (כ-16%-18% מעב</w:t>
      </w:r>
      <w:r>
        <w:rPr>
          <w:rFonts w:hint="cs"/>
          <w:rtl/>
        </w:rPr>
        <w:t>ירות הסמים). הפללת צרכני הקנבוס</w:t>
      </w:r>
      <w:r w:rsidRPr="002C05F5">
        <w:rPr>
          <w:rFonts w:hint="cs"/>
          <w:rtl/>
        </w:rPr>
        <w:t xml:space="preserve"> מהווה פ</w:t>
      </w:r>
      <w:r>
        <w:rPr>
          <w:rFonts w:hint="cs"/>
          <w:rtl/>
        </w:rPr>
        <w:t>גיעה בזכויות הפרט</w:t>
      </w:r>
      <w:r w:rsidRPr="002C05F5">
        <w:rPr>
          <w:rFonts w:hint="cs"/>
          <w:rtl/>
        </w:rPr>
        <w:t xml:space="preserve"> </w:t>
      </w:r>
      <w:r>
        <w:rPr>
          <w:rFonts w:hint="cs"/>
          <w:rtl/>
        </w:rPr>
        <w:t>ו</w:t>
      </w:r>
      <w:r w:rsidRPr="002C05F5">
        <w:rPr>
          <w:rFonts w:hint="cs"/>
          <w:rtl/>
        </w:rPr>
        <w:t>אינה תואמת את הלכי</w:t>
      </w:r>
      <w:r>
        <w:rPr>
          <w:rFonts w:hint="cs"/>
          <w:rtl/>
        </w:rPr>
        <w:t xml:space="preserve"> הרוח של מדינה חופשית ודמוקרטית. יתרה מכך, </w:t>
      </w:r>
      <w:r w:rsidRPr="002C05F5">
        <w:rPr>
          <w:rFonts w:hint="cs"/>
          <w:rtl/>
        </w:rPr>
        <w:t>היא עלולה להוביל אזרחים נורמטיביי</w:t>
      </w:r>
      <w:r w:rsidRPr="002C05F5">
        <w:rPr>
          <w:rFonts w:hint="eastAsia"/>
          <w:rtl/>
        </w:rPr>
        <w:t>ם</w:t>
      </w:r>
      <w:r w:rsidRPr="002C05F5">
        <w:rPr>
          <w:rFonts w:hint="cs"/>
          <w:rtl/>
        </w:rPr>
        <w:t xml:space="preserve"> ושומרי חוק למעגל הפשע.</w:t>
      </w:r>
    </w:p>
    <w:p w14:paraId="606149DD" w14:textId="77777777" w:rsidR="002722DF" w:rsidRPr="002C05F5" w:rsidRDefault="002722DF" w:rsidP="002722DF">
      <w:pPr>
        <w:pStyle w:val="Hesber"/>
        <w:rPr>
          <w:rtl/>
        </w:rPr>
      </w:pPr>
      <w:r w:rsidRPr="002C05F5">
        <w:rPr>
          <w:rFonts w:hint="cs"/>
          <w:rtl/>
        </w:rPr>
        <w:t>הצעת חוק זו לא נועדה לעודד שימוש בקנבוס או להניף דגל שכזה מבחינה חברתית. נהפוך הוא, הצעת החוק משאירה את הקנבוס כסם אסור בפקודת הסמים המסוכנים וקובעת קנס למי שיצרוך אותו במקומות ציבוריים</w:t>
      </w:r>
      <w:r>
        <w:rPr>
          <w:rFonts w:hint="cs"/>
          <w:rtl/>
        </w:rPr>
        <w:t xml:space="preserve"> או למי שיחזיק את הסם בכמות העולה על הכמות לשימוש עצמי אך שלא נועדה לסחר</w:t>
      </w:r>
      <w:r w:rsidRPr="002C05F5">
        <w:rPr>
          <w:rFonts w:hint="cs"/>
          <w:rtl/>
        </w:rPr>
        <w:t xml:space="preserve">. יחד עם זאת, הצעת חוק זו </w:t>
      </w:r>
      <w:r>
        <w:rPr>
          <w:rFonts w:hint="cs"/>
          <w:rtl/>
        </w:rPr>
        <w:t xml:space="preserve">תמנע את הפיכתם של אנשים בגירים </w:t>
      </w:r>
      <w:r w:rsidRPr="002C05F5">
        <w:rPr>
          <w:rFonts w:hint="cs"/>
          <w:rtl/>
        </w:rPr>
        <w:t>ונורמטיביי</w:t>
      </w:r>
      <w:r w:rsidRPr="002C05F5">
        <w:rPr>
          <w:rFonts w:hint="eastAsia"/>
          <w:rtl/>
        </w:rPr>
        <w:t>ם</w:t>
      </w:r>
      <w:r w:rsidRPr="002C05F5">
        <w:rPr>
          <w:rFonts w:hint="cs"/>
          <w:rtl/>
        </w:rPr>
        <w:t xml:space="preserve"> לעבריינים בעיני החוק. הצעת החוק תאפשר את המשך חייהם הרגי</w:t>
      </w:r>
      <w:r>
        <w:rPr>
          <w:rFonts w:hint="cs"/>
          <w:rtl/>
        </w:rPr>
        <w:t>לים והמקצועיים ואת תרומתם לחברה</w:t>
      </w:r>
      <w:r w:rsidRPr="002C05F5">
        <w:rPr>
          <w:rFonts w:hint="cs"/>
          <w:rtl/>
        </w:rPr>
        <w:t xml:space="preserve"> ותמנע את הפגיעה הצפויה להם כתוצאה מרישום פלילי.</w:t>
      </w:r>
    </w:p>
    <w:p w14:paraId="0F5B9867" w14:textId="77777777" w:rsidR="002722DF" w:rsidRPr="002C05F5" w:rsidRDefault="002722DF" w:rsidP="002722DF">
      <w:pPr>
        <w:pStyle w:val="Hesber"/>
        <w:rPr>
          <w:rtl/>
        </w:rPr>
      </w:pPr>
      <w:r w:rsidRPr="002C05F5">
        <w:rPr>
          <w:rFonts w:hint="cs"/>
          <w:rtl/>
        </w:rPr>
        <w:t>תועלת נוספת שתצמח מהצעת החוק היא חסכון כלכלי של סכומים עצומים המושקעים באכיפת החוק, והקלה על העומס הרב ממילא שיש על מערכת המשפט, אשר נאלצת לטפל באלפי תיקים פליליים בגין שימוש והחזקה של קנבוס לשימוש עצמי מדי שנה. את הסכומים שיחסכו ניתן יהיה להפנות לטיפולי במכורים לסמים קשים, לחינוך ולהסברה.</w:t>
      </w:r>
    </w:p>
    <w:p w14:paraId="54602229" w14:textId="77777777" w:rsidR="0089568A" w:rsidRPr="0014691E" w:rsidRDefault="0089568A" w:rsidP="0089568A">
      <w:pPr>
        <w:pStyle w:val="Hesber"/>
        <w:rPr>
          <w:rtl/>
        </w:rPr>
      </w:pPr>
      <w:r>
        <w:rPr>
          <w:rFonts w:hint="cs"/>
          <w:rtl/>
        </w:rPr>
        <w:t xml:space="preserve">בנוסף </w:t>
      </w:r>
      <w:r w:rsidRPr="0014691E">
        <w:rPr>
          <w:rFonts w:hint="cs"/>
          <w:rtl/>
        </w:rPr>
        <w:t>מוצע לתקן את פקודת הסמים המסוכנים ולהוציא את</w:t>
      </w:r>
      <w:r>
        <w:rPr>
          <w:rFonts w:hint="cs"/>
          <w:rtl/>
        </w:rPr>
        <w:t xml:space="preserve"> רכיב</w:t>
      </w:r>
      <w:r w:rsidRPr="0014691E">
        <w:rPr>
          <w:rFonts w:hint="cs"/>
          <w:rtl/>
        </w:rPr>
        <w:t xml:space="preserve"> </w:t>
      </w:r>
      <w:r w:rsidRPr="0014691E">
        <w:rPr>
          <w:rtl/>
        </w:rPr>
        <w:t>הקנאבידול (</w:t>
      </w:r>
      <w:r w:rsidRPr="0014691E">
        <w:t>CBD – cannabidiol</w:t>
      </w:r>
      <w:r w:rsidRPr="0014691E">
        <w:rPr>
          <w:rtl/>
        </w:rPr>
        <w:t xml:space="preserve">) </w:t>
      </w:r>
      <w:r w:rsidRPr="0014691E">
        <w:rPr>
          <w:rFonts w:hint="cs"/>
          <w:rtl/>
        </w:rPr>
        <w:t>מגדר סם מסוכן.</w:t>
      </w:r>
    </w:p>
    <w:p w14:paraId="070B6ED7" w14:textId="77777777" w:rsidR="0089568A" w:rsidRPr="0014691E" w:rsidRDefault="0089568A" w:rsidP="0089568A">
      <w:pPr>
        <w:pStyle w:val="Hesber"/>
      </w:pPr>
      <w:r>
        <w:rPr>
          <w:rFonts w:hint="cs"/>
          <w:rtl/>
        </w:rPr>
        <w:t xml:space="preserve"> הקנאבידול </w:t>
      </w:r>
      <w:r w:rsidRPr="0014691E">
        <w:rPr>
          <w:rtl/>
        </w:rPr>
        <w:t>ה</w:t>
      </w:r>
      <w:r w:rsidRPr="0014691E">
        <w:rPr>
          <w:rFonts w:hint="cs"/>
          <w:rtl/>
        </w:rPr>
        <w:t>וא</w:t>
      </w:r>
      <w:r w:rsidRPr="0014691E">
        <w:rPr>
          <w:rtl/>
        </w:rPr>
        <w:t xml:space="preserve"> המרכיב המרכזי השני בצמח הקנביס</w:t>
      </w:r>
      <w:r w:rsidRPr="0014691E">
        <w:rPr>
          <w:rFonts w:hint="cs"/>
          <w:rtl/>
        </w:rPr>
        <w:t>. ממחקרים שנערכו בשנים האחרונות עולה כי הקנאבידול</w:t>
      </w:r>
      <w:r w:rsidRPr="0014691E">
        <w:rPr>
          <w:rtl/>
        </w:rPr>
        <w:t xml:space="preserve"> </w:t>
      </w:r>
      <w:r w:rsidRPr="0014691E">
        <w:rPr>
          <w:rFonts w:hint="cs"/>
          <w:rtl/>
        </w:rPr>
        <w:t>אינו</w:t>
      </w:r>
      <w:r w:rsidRPr="0014691E">
        <w:rPr>
          <w:rtl/>
        </w:rPr>
        <w:t xml:space="preserve"> בעל השפעה פסיכו</w:t>
      </w:r>
      <w:r w:rsidRPr="0014691E">
        <w:rPr>
          <w:rFonts w:hint="cs"/>
          <w:rtl/>
        </w:rPr>
        <w:t>-</w:t>
      </w:r>
      <w:r w:rsidRPr="0014691E">
        <w:rPr>
          <w:rtl/>
        </w:rPr>
        <w:t>אקטיבית ובמחקרים מסוי</w:t>
      </w:r>
      <w:r w:rsidRPr="0014691E">
        <w:rPr>
          <w:rFonts w:hint="cs"/>
          <w:rtl/>
        </w:rPr>
        <w:t>מי</w:t>
      </w:r>
      <w:r w:rsidRPr="0014691E">
        <w:rPr>
          <w:rtl/>
        </w:rPr>
        <w:t>ם אף נוסה כחומר אנטי פסיכוטי</w:t>
      </w:r>
      <w:r w:rsidRPr="0014691E">
        <w:rPr>
          <w:rFonts w:hint="cs"/>
          <w:rtl/>
        </w:rPr>
        <w:t xml:space="preserve"> (</w:t>
      </w:r>
      <w:r w:rsidRPr="0014691E">
        <w:t>http://www.medicinalgenomics.com/wp-content/uploads/2013/01/Bergamaschi_2011.pdf</w:t>
      </w:r>
      <w:r w:rsidRPr="0014691E">
        <w:rPr>
          <w:rFonts w:hint="cs"/>
          <w:rtl/>
        </w:rPr>
        <w:t>)</w:t>
      </w:r>
      <w:r w:rsidRPr="0014691E">
        <w:rPr>
          <w:rtl/>
        </w:rPr>
        <w:t>.</w:t>
      </w:r>
    </w:p>
    <w:p w14:paraId="5CA7EFD1" w14:textId="77777777" w:rsidR="0089568A" w:rsidRPr="0014691E" w:rsidRDefault="0089568A" w:rsidP="0089568A">
      <w:pPr>
        <w:pStyle w:val="Hesber"/>
        <w:rPr>
          <w:rtl/>
        </w:rPr>
      </w:pPr>
      <w:r w:rsidRPr="0014691E">
        <w:rPr>
          <w:rFonts w:hint="cs"/>
          <w:rtl/>
        </w:rPr>
        <w:t xml:space="preserve">רבות </w:t>
      </w:r>
      <w:r w:rsidRPr="0014691E">
        <w:rPr>
          <w:rtl/>
        </w:rPr>
        <w:t>מההטבות הרפואיות המיוחסות ל</w:t>
      </w:r>
      <w:r w:rsidRPr="0014691E">
        <w:rPr>
          <w:rFonts w:hint="cs"/>
          <w:rtl/>
        </w:rPr>
        <w:t>-</w:t>
      </w:r>
      <w:r w:rsidRPr="0014691E">
        <w:t>THC</w:t>
      </w:r>
      <w:r w:rsidRPr="0014691E">
        <w:rPr>
          <w:rtl/>
        </w:rPr>
        <w:t xml:space="preserve">, לקנביס ולקנאבינואידים אחרים </w:t>
      </w:r>
      <w:r w:rsidRPr="0014691E">
        <w:rPr>
          <w:rFonts w:hint="cs"/>
          <w:rtl/>
        </w:rPr>
        <w:t>מקורן</w:t>
      </w:r>
      <w:r w:rsidRPr="0014691E">
        <w:rPr>
          <w:rtl/>
        </w:rPr>
        <w:t xml:space="preserve"> בעצם </w:t>
      </w:r>
      <w:r w:rsidRPr="0014691E">
        <w:rPr>
          <w:rFonts w:hint="cs"/>
          <w:rtl/>
        </w:rPr>
        <w:t>בקנאבידול (</w:t>
      </w:r>
      <w:r w:rsidRPr="0014691E">
        <w:t>CBD</w:t>
      </w:r>
      <w:r w:rsidRPr="0014691E">
        <w:rPr>
          <w:rFonts w:hint="cs"/>
          <w:rtl/>
        </w:rPr>
        <w:t>). ל</w:t>
      </w:r>
      <w:r w:rsidRPr="0014691E">
        <w:rPr>
          <w:rtl/>
        </w:rPr>
        <w:t>קנאבידול תכונות אנטי</w:t>
      </w:r>
      <w:r w:rsidRPr="0014691E">
        <w:rPr>
          <w:rFonts w:hint="cs"/>
          <w:rtl/>
        </w:rPr>
        <w:t>-</w:t>
      </w:r>
      <w:r w:rsidRPr="0014691E">
        <w:rPr>
          <w:rtl/>
        </w:rPr>
        <w:t xml:space="preserve">דלקתיות </w:t>
      </w:r>
      <w:r w:rsidRPr="0014691E">
        <w:rPr>
          <w:rFonts w:hint="cs"/>
          <w:rtl/>
        </w:rPr>
        <w:t>המסייעות בדיכוי</w:t>
      </w:r>
      <w:r w:rsidRPr="0014691E">
        <w:rPr>
          <w:rtl/>
        </w:rPr>
        <w:t xml:space="preserve"> דלק</w:t>
      </w:r>
      <w:r w:rsidRPr="0014691E">
        <w:rPr>
          <w:rFonts w:hint="cs"/>
          <w:rtl/>
        </w:rPr>
        <w:t>ו</w:t>
      </w:r>
      <w:r w:rsidRPr="0014691E">
        <w:rPr>
          <w:rtl/>
        </w:rPr>
        <w:t>ת בגוף, כך שיש לו תפקיד מניעתי. </w:t>
      </w:r>
      <w:r w:rsidRPr="0014691E">
        <w:rPr>
          <w:rFonts w:hint="cs"/>
          <w:rtl/>
        </w:rPr>
        <w:t>כמו כן, יש ל</w:t>
      </w:r>
      <w:r w:rsidRPr="0014691E">
        <w:rPr>
          <w:rtl/>
        </w:rPr>
        <w:t>קנאבידול תכונות אנטי</w:t>
      </w:r>
      <w:r w:rsidRPr="0014691E">
        <w:rPr>
          <w:rFonts w:hint="cs"/>
          <w:rtl/>
        </w:rPr>
        <w:t>-</w:t>
      </w:r>
      <w:r w:rsidRPr="0014691E">
        <w:rPr>
          <w:rtl/>
        </w:rPr>
        <w:t>עוויתיות, כלומר הוא עוזר לדכא התקפים ועוויתות ומפחית את התכיפות שלהם.</w:t>
      </w:r>
      <w:r w:rsidRPr="0014691E">
        <w:rPr>
          <w:rFonts w:hint="cs"/>
          <w:rtl/>
        </w:rPr>
        <w:t xml:space="preserve"> כמו כן</w:t>
      </w:r>
      <w:r w:rsidRPr="0014691E">
        <w:rPr>
          <w:rtl/>
        </w:rPr>
        <w:t>, נמצא כי אצל חולי סרטן ה</w:t>
      </w:r>
      <w:r w:rsidRPr="0014691E">
        <w:rPr>
          <w:rFonts w:hint="cs"/>
          <w:rtl/>
        </w:rPr>
        <w:t>-</w:t>
      </w:r>
      <w:r w:rsidRPr="0014691E">
        <w:t>CBD</w:t>
      </w:r>
      <w:r w:rsidRPr="0014691E">
        <w:rPr>
          <w:rtl/>
        </w:rPr>
        <w:t xml:space="preserve"> גורם לתאים הסרטניים </w:t>
      </w:r>
      <w:r w:rsidRPr="0014691E">
        <w:rPr>
          <w:rFonts w:hint="cs"/>
          <w:rtl/>
        </w:rPr>
        <w:t>"</w:t>
      </w:r>
      <w:r w:rsidRPr="0014691E">
        <w:rPr>
          <w:rtl/>
        </w:rPr>
        <w:t>להתאבד״ בעוד התאים הבריאים נשמרים</w:t>
      </w:r>
      <w:r w:rsidRPr="0014691E">
        <w:rPr>
          <w:rFonts w:hint="cs"/>
          <w:rtl/>
        </w:rPr>
        <w:t>, זאת משום ש</w:t>
      </w:r>
      <w:r w:rsidRPr="0014691E">
        <w:rPr>
          <w:rtl/>
        </w:rPr>
        <w:t>ה</w:t>
      </w:r>
      <w:r w:rsidRPr="0014691E">
        <w:rPr>
          <w:rFonts w:hint="cs"/>
          <w:rtl/>
        </w:rPr>
        <w:t>-</w:t>
      </w:r>
      <w:r w:rsidRPr="0014691E">
        <w:t>CBD</w:t>
      </w:r>
      <w:r w:rsidRPr="0014691E">
        <w:rPr>
          <w:rtl/>
        </w:rPr>
        <w:t xml:space="preserve"> נצמד לקולטני התאים הסרטניים וגורם להם להשמיד את עצמם בכך שהוא מונע את אספקת הדם אל הגידול הסרטני.</w:t>
      </w:r>
      <w:r w:rsidRPr="0014691E">
        <w:rPr>
          <w:rFonts w:hint="cs"/>
          <w:rtl/>
        </w:rPr>
        <w:t xml:space="preserve"> </w:t>
      </w:r>
      <w:r w:rsidRPr="0014691E">
        <w:rPr>
          <w:rtl/>
        </w:rPr>
        <w:t>תכונה נוספת של ה</w:t>
      </w:r>
      <w:r w:rsidRPr="0014691E">
        <w:rPr>
          <w:rFonts w:hint="cs"/>
          <w:rtl/>
        </w:rPr>
        <w:t>-</w:t>
      </w:r>
      <w:r w:rsidRPr="0014691E">
        <w:t>CBD</w:t>
      </w:r>
      <w:r w:rsidRPr="0014691E">
        <w:rPr>
          <w:rtl/>
        </w:rPr>
        <w:t xml:space="preserve"> הי</w:t>
      </w:r>
      <w:r w:rsidRPr="0014691E">
        <w:rPr>
          <w:rFonts w:hint="cs"/>
          <w:rtl/>
        </w:rPr>
        <w:t>א</w:t>
      </w:r>
      <w:r w:rsidRPr="0014691E">
        <w:rPr>
          <w:rtl/>
        </w:rPr>
        <w:t xml:space="preserve"> היכולת להוות ווסת לערנות ושינה</w:t>
      </w:r>
      <w:r w:rsidRPr="0014691E">
        <w:rPr>
          <w:rFonts w:hint="cs"/>
          <w:rtl/>
        </w:rPr>
        <w:t>:</w:t>
      </w:r>
      <w:r w:rsidRPr="0014691E">
        <w:rPr>
          <w:rtl/>
        </w:rPr>
        <w:t xml:space="preserve"> במינונים נמוכים הוא מגביר את הערנות ובמינונים גבוהים הוא מרדים ומרגיע.</w:t>
      </w:r>
    </w:p>
    <w:p w14:paraId="31A80A3B" w14:textId="77777777" w:rsidR="0089568A" w:rsidRPr="0014691E" w:rsidRDefault="0089568A" w:rsidP="0089568A">
      <w:pPr>
        <w:pStyle w:val="Hesber"/>
        <w:rPr>
          <w:rtl/>
        </w:rPr>
      </w:pPr>
      <w:r w:rsidRPr="0014691E">
        <w:rPr>
          <w:rtl/>
        </w:rPr>
        <w:t>מה שמייחד את ה</w:t>
      </w:r>
      <w:r w:rsidRPr="0014691E">
        <w:rPr>
          <w:rFonts w:hint="cs"/>
          <w:rtl/>
        </w:rPr>
        <w:t>-</w:t>
      </w:r>
      <w:r w:rsidRPr="0014691E">
        <w:t>CBD</w:t>
      </w:r>
      <w:r w:rsidRPr="0014691E">
        <w:rPr>
          <w:rtl/>
        </w:rPr>
        <w:t xml:space="preserve"> היא היכולת לשלוט בתוצאה על פי המינון ולהשיג את מטרת השימוש המדויק. </w:t>
      </w:r>
    </w:p>
    <w:p w14:paraId="169D4317" w14:textId="77777777" w:rsidR="0089568A" w:rsidRPr="0014691E" w:rsidRDefault="0089568A" w:rsidP="0089568A">
      <w:pPr>
        <w:pStyle w:val="Hesber"/>
        <w:rPr>
          <w:rtl/>
        </w:rPr>
      </w:pPr>
      <w:r w:rsidRPr="0014691E">
        <w:rPr>
          <w:rtl/>
        </w:rPr>
        <w:t xml:space="preserve">לדברי רות‏ גלילי,‏ פרופסור‏ לאימונולוגיה מביה"ס‏ לרפואה של האוניברסיטה ‏העברית </w:t>
      </w:r>
      <w:r w:rsidRPr="0014691E">
        <w:rPr>
          <w:rFonts w:hint="cs"/>
          <w:rtl/>
        </w:rPr>
        <w:t>אשר</w:t>
      </w:r>
      <w:r w:rsidRPr="0014691E">
        <w:rPr>
          <w:rtl/>
        </w:rPr>
        <w:t xml:space="preserve"> עוסקת במחקר מולקולת ה</w:t>
      </w:r>
      <w:r w:rsidRPr="0014691E">
        <w:rPr>
          <w:rFonts w:hint="cs"/>
          <w:rtl/>
        </w:rPr>
        <w:t>-</w:t>
      </w:r>
      <w:r w:rsidRPr="0014691E">
        <w:t>CBD</w:t>
      </w:r>
      <w:r w:rsidRPr="0014691E">
        <w:rPr>
          <w:rFonts w:hint="cs"/>
          <w:rtl/>
        </w:rPr>
        <w:t xml:space="preserve"> מזה </w:t>
      </w:r>
      <w:r w:rsidRPr="0014691E">
        <w:rPr>
          <w:rtl/>
        </w:rPr>
        <w:t>למעלה מ-40 שנה ונחשבת למובילה בעולם בתחום זה</w:t>
      </w:r>
      <w:r w:rsidRPr="0014691E">
        <w:rPr>
          <w:rFonts w:hint="cs"/>
          <w:rtl/>
        </w:rPr>
        <w:t xml:space="preserve">, </w:t>
      </w:r>
      <w:r w:rsidRPr="0014691E">
        <w:rPr>
          <w:rtl/>
        </w:rPr>
        <w:t>הקנ</w:t>
      </w:r>
      <w:r w:rsidRPr="0014691E">
        <w:rPr>
          <w:rFonts w:hint="cs"/>
          <w:rtl/>
        </w:rPr>
        <w:t>א</w:t>
      </w:r>
      <w:r w:rsidRPr="0014691E">
        <w:rPr>
          <w:rtl/>
        </w:rPr>
        <w:t>בידול‏</w:t>
      </w:r>
      <w:r w:rsidRPr="0014691E">
        <w:t xml:space="preserve"> </w:t>
      </w:r>
      <w:r w:rsidRPr="0014691E">
        <w:rPr>
          <w:rtl/>
        </w:rPr>
        <w:t>ה</w:t>
      </w:r>
      <w:r w:rsidRPr="0014691E">
        <w:rPr>
          <w:rFonts w:hint="cs"/>
          <w:rtl/>
        </w:rPr>
        <w:t>וא</w:t>
      </w:r>
      <w:r w:rsidRPr="0014691E">
        <w:rPr>
          <w:rtl/>
        </w:rPr>
        <w:t xml:space="preserve">‏ מהמרכיבים‏ העיקריים‏ של‏ </w:t>
      </w:r>
      <w:r w:rsidRPr="0014691E">
        <w:rPr>
          <w:rFonts w:hint="cs"/>
          <w:rtl/>
        </w:rPr>
        <w:t xml:space="preserve">צמח הקנביס כאשר </w:t>
      </w:r>
      <w:r w:rsidRPr="0014691E">
        <w:rPr>
          <w:rtl/>
        </w:rPr>
        <w:t>הקנביס‏ מכיל‏‏ מרכיבים‏ נוספים ‏המוכרים‏ בשם‏ קנבינואידים ‏ולמעלה ‏מ-411‏ מולקולות ‏נוספות. ‏</w:t>
      </w:r>
    </w:p>
    <w:p w14:paraId="2A23920A" w14:textId="77777777" w:rsidR="0089568A" w:rsidRPr="0014691E" w:rsidRDefault="0089568A" w:rsidP="0089568A">
      <w:pPr>
        <w:pStyle w:val="Hesber"/>
        <w:rPr>
          <w:rtl/>
        </w:rPr>
      </w:pPr>
      <w:r w:rsidRPr="0014691E">
        <w:rPr>
          <w:rtl/>
        </w:rPr>
        <w:t>בשונה‏ ממרכיב ‏חשוב‏ נוסף‏ של‏ הקנביס</w:t>
      </w:r>
      <w:r w:rsidRPr="0014691E">
        <w:rPr>
          <w:rFonts w:hint="cs"/>
          <w:rtl/>
        </w:rPr>
        <w:t xml:space="preserve"> – ה</w:t>
      </w:r>
      <w:r w:rsidRPr="0014691E">
        <w:rPr>
          <w:rtl/>
        </w:rPr>
        <w:t>‏-‏</w:t>
      </w:r>
      <w:r w:rsidRPr="0014691E">
        <w:t>THC</w:t>
      </w:r>
      <w:r w:rsidRPr="0014691E">
        <w:rPr>
          <w:rtl/>
        </w:rPr>
        <w:t>,‏</w:t>
      </w:r>
      <w:r w:rsidRPr="0014691E">
        <w:rPr>
          <w:rFonts w:hint="cs"/>
          <w:rtl/>
        </w:rPr>
        <w:t xml:space="preserve"> </w:t>
      </w:r>
      <w:r w:rsidRPr="0014691E">
        <w:rPr>
          <w:rtl/>
        </w:rPr>
        <w:t>ה-</w:t>
      </w:r>
      <w:r w:rsidRPr="0014691E">
        <w:t>CBD</w:t>
      </w:r>
      <w:r w:rsidRPr="0014691E">
        <w:rPr>
          <w:rtl/>
        </w:rPr>
        <w:t>‏ אינו‏ גורם ‏לתופעות ‏פסיכו</w:t>
      </w:r>
      <w:r w:rsidRPr="0014691E">
        <w:rPr>
          <w:rFonts w:hint="cs"/>
          <w:rtl/>
        </w:rPr>
        <w:t>ט</w:t>
      </w:r>
      <w:r w:rsidRPr="0014691E">
        <w:rPr>
          <w:rtl/>
        </w:rPr>
        <w:t xml:space="preserve">יות‏ </w:t>
      </w:r>
      <w:r w:rsidRPr="0014691E">
        <w:rPr>
          <w:rFonts w:hint="cs"/>
          <w:rtl/>
        </w:rPr>
        <w:t>כגון</w:t>
      </w:r>
      <w:r w:rsidRPr="0014691E">
        <w:rPr>
          <w:rtl/>
        </w:rPr>
        <w:t xml:space="preserve"> תחושת‏</w:t>
      </w:r>
      <w:r w:rsidRPr="0014691E">
        <w:rPr>
          <w:rFonts w:hint="cs"/>
          <w:rtl/>
        </w:rPr>
        <w:t xml:space="preserve"> "ריחוף" (</w:t>
      </w:r>
      <w:r w:rsidRPr="0014691E">
        <w:rPr>
          <w:rtl/>
        </w:rPr>
        <w:t>"</w:t>
      </w:r>
      <w:r w:rsidRPr="0014691E">
        <w:t>high</w:t>
      </w:r>
      <w:r w:rsidRPr="0014691E">
        <w:rPr>
          <w:rtl/>
        </w:rPr>
        <w:t>"</w:t>
      </w:r>
      <w:r w:rsidRPr="0014691E">
        <w:rPr>
          <w:rFonts w:hint="cs"/>
          <w:rtl/>
        </w:rPr>
        <w:t>)</w:t>
      </w:r>
      <w:r w:rsidRPr="0014691E">
        <w:rPr>
          <w:rtl/>
        </w:rPr>
        <w:t>,‏ כיו</w:t>
      </w:r>
      <w:r w:rsidRPr="0014691E">
        <w:rPr>
          <w:rFonts w:hint="cs"/>
          <w:rtl/>
        </w:rPr>
        <w:t>ו</w:t>
      </w:r>
      <w:r w:rsidRPr="0014691E">
        <w:rPr>
          <w:rtl/>
        </w:rPr>
        <w:t>ן ‏שאינו‏ מתקשר‏ לקולטנים‏ בתאי ‏העצב ‏במ</w:t>
      </w:r>
      <w:r w:rsidRPr="0014691E">
        <w:rPr>
          <w:rFonts w:hint="cs"/>
          <w:rtl/>
        </w:rPr>
        <w:t>ו</w:t>
      </w:r>
      <w:r w:rsidRPr="0014691E">
        <w:rPr>
          <w:rtl/>
        </w:rPr>
        <w:t>ח.‏ בדיקות ‏מקיפות ‏בארה</w:t>
      </w:r>
      <w:r w:rsidRPr="0014691E">
        <w:rPr>
          <w:rFonts w:hint="cs"/>
          <w:rtl/>
        </w:rPr>
        <w:t xml:space="preserve">"ב </w:t>
      </w:r>
      <w:r w:rsidRPr="0014691E">
        <w:rPr>
          <w:rtl/>
        </w:rPr>
        <w:lastRenderedPageBreak/>
        <w:t>‏ובמעבדות‏ רבות‏ אחרות‏ בעולם</w:t>
      </w:r>
      <w:r w:rsidRPr="0014691E">
        <w:rPr>
          <w:rFonts w:hint="cs"/>
          <w:rtl/>
        </w:rPr>
        <w:t>, ה</w:t>
      </w:r>
      <w:r w:rsidRPr="0014691E">
        <w:rPr>
          <w:rtl/>
        </w:rPr>
        <w:t>וכיחו‏ כי‏ הקנ</w:t>
      </w:r>
      <w:r w:rsidRPr="0014691E">
        <w:rPr>
          <w:rFonts w:hint="cs"/>
          <w:rtl/>
        </w:rPr>
        <w:t>א</w:t>
      </w:r>
      <w:r w:rsidRPr="0014691E">
        <w:rPr>
          <w:rtl/>
        </w:rPr>
        <w:t>בידול‏ אינו‏ רעיל</w:t>
      </w:r>
      <w:r w:rsidRPr="0014691E">
        <w:rPr>
          <w:rFonts w:hint="cs"/>
        </w:rPr>
        <w:t xml:space="preserve"> </w:t>
      </w:r>
      <w:r w:rsidRPr="0014691E">
        <w:rPr>
          <w:rtl/>
        </w:rPr>
        <w:t xml:space="preserve">גם‏ כשהוא ‏ניתן‏ בכמויות ‏העולות ‏בהרבה‏ על אלה‏ המשפרות‏ את‏ מצבם‏ של ‏החולים‏ במחלות ‏שונות.‏ </w:t>
      </w:r>
      <w:r w:rsidRPr="0014691E">
        <w:rPr>
          <w:rFonts w:hint="cs"/>
          <w:rtl/>
        </w:rPr>
        <w:t xml:space="preserve">כך, </w:t>
      </w:r>
      <w:r w:rsidRPr="0014691E">
        <w:rPr>
          <w:rtl/>
        </w:rPr>
        <w:t>בניסוי‏ מקיף‏ שנערך‏ ל</w:t>
      </w:r>
      <w:r w:rsidRPr="0014691E">
        <w:rPr>
          <w:rFonts w:hint="cs"/>
          <w:rtl/>
        </w:rPr>
        <w:t xml:space="preserve">פני מספר שנים </w:t>
      </w:r>
      <w:r w:rsidRPr="0014691E">
        <w:rPr>
          <w:rtl/>
        </w:rPr>
        <w:t>‏בחולי‏ סכיזופרניה‏</w:t>
      </w:r>
      <w:r w:rsidRPr="0014691E">
        <w:rPr>
          <w:rFonts w:hint="cs"/>
          <w:rtl/>
        </w:rPr>
        <w:t xml:space="preserve">, </w:t>
      </w:r>
      <w:r w:rsidRPr="0014691E">
        <w:rPr>
          <w:rtl/>
        </w:rPr>
        <w:t>כשנ</w:t>
      </w:r>
      <w:r w:rsidRPr="0014691E">
        <w:rPr>
          <w:rFonts w:hint="cs"/>
          <w:rtl/>
        </w:rPr>
        <w:t>י</w:t>
      </w:r>
      <w:r w:rsidRPr="0014691E">
        <w:rPr>
          <w:rtl/>
        </w:rPr>
        <w:t>תן‏ הקנ</w:t>
      </w:r>
      <w:r w:rsidRPr="0014691E">
        <w:rPr>
          <w:rFonts w:hint="cs"/>
          <w:rtl/>
        </w:rPr>
        <w:t>א</w:t>
      </w:r>
      <w:r w:rsidRPr="0014691E">
        <w:rPr>
          <w:rtl/>
        </w:rPr>
        <w:t>בידול‏ בכמות‏ של‏</w:t>
      </w:r>
      <w:r w:rsidRPr="0014691E">
        <w:rPr>
          <w:rFonts w:hint="cs"/>
          <w:rtl/>
        </w:rPr>
        <w:t xml:space="preserve"> 110</w:t>
      </w:r>
      <w:r w:rsidRPr="0014691E">
        <w:rPr>
          <w:rtl/>
        </w:rPr>
        <w:t xml:space="preserve"> ‏מ"ג‏</w:t>
      </w:r>
      <w:r w:rsidRPr="0014691E">
        <w:rPr>
          <w:rFonts w:hint="cs"/>
          <w:rtl/>
        </w:rPr>
        <w:t xml:space="preserve"> ליום</w:t>
      </w:r>
      <w:r w:rsidRPr="0014691E">
        <w:rPr>
          <w:rtl/>
        </w:rPr>
        <w:t xml:space="preserve"> למשך‏ כחודש</w:t>
      </w:r>
      <w:r w:rsidRPr="0014691E">
        <w:rPr>
          <w:rFonts w:hint="cs"/>
          <w:rtl/>
        </w:rPr>
        <w:t xml:space="preserve"> </w:t>
      </w:r>
      <w:r w:rsidRPr="0014691E">
        <w:rPr>
          <w:rtl/>
        </w:rPr>
        <w:t>‏לא‏ הובחנו‏ ס</w:t>
      </w:r>
      <w:r w:rsidRPr="0014691E">
        <w:rPr>
          <w:rFonts w:hint="cs"/>
          <w:rtl/>
        </w:rPr>
        <w:t>י</w:t>
      </w:r>
      <w:r w:rsidRPr="0014691E">
        <w:rPr>
          <w:rtl/>
        </w:rPr>
        <w:t>מני‏ רעילות‏ כל‏שהם</w:t>
      </w:r>
      <w:r w:rsidRPr="0014691E">
        <w:rPr>
          <w:rFonts w:hint="cs"/>
          <w:rtl/>
        </w:rPr>
        <w:t xml:space="preserve">. לרוב ניתן </w:t>
      </w:r>
      <w:r w:rsidRPr="0014691E">
        <w:rPr>
          <w:rtl/>
        </w:rPr>
        <w:t>הקנ</w:t>
      </w:r>
      <w:r w:rsidRPr="0014691E">
        <w:rPr>
          <w:rFonts w:hint="cs"/>
          <w:rtl/>
        </w:rPr>
        <w:t>א</w:t>
      </w:r>
      <w:r w:rsidRPr="0014691E">
        <w:rPr>
          <w:rtl/>
        </w:rPr>
        <w:t>בידול ‏בכמויות ‏של</w:t>
      </w:r>
      <w:r w:rsidRPr="0014691E">
        <w:rPr>
          <w:rFonts w:hint="cs"/>
          <w:rtl/>
        </w:rPr>
        <w:t xml:space="preserve"> </w:t>
      </w:r>
      <w:r w:rsidRPr="0014691E">
        <w:rPr>
          <w:rtl/>
        </w:rPr>
        <w:t>‏</w:t>
      </w:r>
      <w:r w:rsidRPr="0014691E">
        <w:rPr>
          <w:rFonts w:hint="cs"/>
          <w:rtl/>
        </w:rPr>
        <w:t>21-41</w:t>
      </w:r>
      <w:r w:rsidRPr="0014691E">
        <w:rPr>
          <w:rtl/>
        </w:rPr>
        <w:t xml:space="preserve"> ‏מ"ג‏ ליו</w:t>
      </w:r>
      <w:r w:rsidRPr="0014691E">
        <w:rPr>
          <w:rFonts w:hint="cs"/>
          <w:rtl/>
        </w:rPr>
        <w:t xml:space="preserve">ם אצל חולים </w:t>
      </w:r>
      <w:r w:rsidRPr="0014691E">
        <w:rPr>
          <w:rtl/>
        </w:rPr>
        <w:t>במחלות‏ דלקתיות‏</w:t>
      </w:r>
      <w:r w:rsidRPr="0014691E">
        <w:rPr>
          <w:rFonts w:hint="cs"/>
          <w:rtl/>
        </w:rPr>
        <w:t xml:space="preserve"> </w:t>
      </w:r>
      <w:r w:rsidRPr="0014691E">
        <w:rPr>
          <w:rtl/>
        </w:rPr>
        <w:t>כמו</w:t>
      </w:r>
      <w:r w:rsidRPr="0014691E">
        <w:rPr>
          <w:rFonts w:hint="cs"/>
          <w:rtl/>
        </w:rPr>
        <w:t xml:space="preserve"> </w:t>
      </w:r>
      <w:r w:rsidRPr="0014691E">
        <w:rPr>
          <w:rtl/>
        </w:rPr>
        <w:t>דלקת‏ מפרקים, ‏טרשת‏ נפוצה,‏ גלאוקומה‏ וכן‏ לשיכוך ‏כאבים</w:t>
      </w:r>
      <w:r w:rsidRPr="0014691E">
        <w:rPr>
          <w:rFonts w:hint="cs"/>
          <w:rtl/>
        </w:rPr>
        <w:t xml:space="preserve">, וחולים אלה מדווחים </w:t>
      </w:r>
      <w:r w:rsidRPr="0014691E">
        <w:rPr>
          <w:rtl/>
        </w:rPr>
        <w:t>ע</w:t>
      </w:r>
      <w:r w:rsidRPr="0014691E">
        <w:rPr>
          <w:rFonts w:hint="cs"/>
          <w:rtl/>
        </w:rPr>
        <w:t xml:space="preserve">ל </w:t>
      </w:r>
      <w:r w:rsidRPr="0014691E">
        <w:rPr>
          <w:rtl/>
        </w:rPr>
        <w:t>השפעה ‏מיטיבה</w:t>
      </w:r>
      <w:r w:rsidRPr="0014691E">
        <w:rPr>
          <w:rFonts w:hint="cs"/>
          <w:rtl/>
        </w:rPr>
        <w:t xml:space="preserve"> בעקבות הטיפול. </w:t>
      </w:r>
      <w:r w:rsidRPr="0014691E">
        <w:rPr>
          <w:rtl/>
        </w:rPr>
        <w:t xml:space="preserve">בכל‏ הניסויים‏ הרבים ‏המתוארים ‏בספרות‏ המדעית‏ לא‏ </w:t>
      </w:r>
      <w:r w:rsidRPr="0014691E">
        <w:rPr>
          <w:rFonts w:hint="cs"/>
          <w:rtl/>
        </w:rPr>
        <w:t>נצפתה</w:t>
      </w:r>
      <w:r w:rsidRPr="0014691E">
        <w:rPr>
          <w:rtl/>
        </w:rPr>
        <w:t xml:space="preserve"> ‏רעילות ‏כל‏שהי‏ לאחר‏ מתן‏ הקנ</w:t>
      </w:r>
      <w:r w:rsidRPr="0014691E">
        <w:rPr>
          <w:rFonts w:hint="cs"/>
          <w:rtl/>
        </w:rPr>
        <w:t>א</w:t>
      </w:r>
      <w:r w:rsidRPr="0014691E">
        <w:rPr>
          <w:rtl/>
        </w:rPr>
        <w:t>ביד</w:t>
      </w:r>
      <w:r w:rsidRPr="0014691E">
        <w:rPr>
          <w:rFonts w:hint="cs"/>
          <w:rtl/>
        </w:rPr>
        <w:t>ו</w:t>
      </w:r>
      <w:r w:rsidRPr="0014691E">
        <w:rPr>
          <w:rtl/>
        </w:rPr>
        <w:t>ל. ‏</w:t>
      </w:r>
    </w:p>
    <w:p w14:paraId="31A64474" w14:textId="77777777" w:rsidR="0089568A" w:rsidRPr="0014691E" w:rsidRDefault="0089568A" w:rsidP="0089568A">
      <w:pPr>
        <w:pStyle w:val="Hesber"/>
        <w:rPr>
          <w:rtl/>
        </w:rPr>
      </w:pPr>
      <w:r w:rsidRPr="0014691E">
        <w:rPr>
          <w:rFonts w:hint="cs"/>
          <w:rtl/>
        </w:rPr>
        <w:t xml:space="preserve">יתרה מכך, </w:t>
      </w:r>
      <w:r w:rsidRPr="0014691E">
        <w:rPr>
          <w:rtl/>
        </w:rPr>
        <w:t>בשנים האחרונות מתווספים עוד ועוד מחקרים קליניים בעולם המוכיחים את יעילותו הרבה של ה</w:t>
      </w:r>
      <w:r w:rsidRPr="0014691E">
        <w:rPr>
          <w:rFonts w:hint="cs"/>
          <w:rtl/>
        </w:rPr>
        <w:t>-</w:t>
      </w:r>
      <w:r w:rsidRPr="0014691E">
        <w:t>CBD</w:t>
      </w:r>
      <w:r w:rsidRPr="0014691E">
        <w:rPr>
          <w:rtl/>
        </w:rPr>
        <w:t>.</w:t>
      </w:r>
      <w:r w:rsidRPr="0014691E">
        <w:rPr>
          <w:rFonts w:hint="cs"/>
          <w:rtl/>
        </w:rPr>
        <w:t xml:space="preserve"> לפני מספר שנים, </w:t>
      </w:r>
      <w:r w:rsidRPr="0014691E">
        <w:rPr>
          <w:rtl/>
        </w:rPr>
        <w:t>לאחר 3 שנות מחקר ופיתוח הצליחה חברה ישראלית בשיתוף פרופסור רות גלילי לפתח לראשונה בעולם זן</w:t>
      </w:r>
      <w:r w:rsidRPr="0014691E">
        <w:rPr>
          <w:rFonts w:hint="cs"/>
          <w:rtl/>
        </w:rPr>
        <w:t xml:space="preserve"> של</w:t>
      </w:r>
      <w:r w:rsidRPr="0014691E">
        <w:rPr>
          <w:rtl/>
        </w:rPr>
        <w:t xml:space="preserve"> קנביס רפואי המכיל ריכוז גבוה מאוד של </w:t>
      </w:r>
      <w:r w:rsidRPr="0014691E">
        <w:t>CBD</w:t>
      </w:r>
      <w:r w:rsidRPr="0014691E">
        <w:rPr>
          <w:rtl/>
        </w:rPr>
        <w:t> </w:t>
      </w:r>
      <w:r w:rsidRPr="0014691E">
        <w:rPr>
          <w:rFonts w:hint="cs"/>
          <w:rtl/>
        </w:rPr>
        <w:t>העומד על 16%</w:t>
      </w:r>
      <w:r w:rsidRPr="0014691E">
        <w:rPr>
          <w:rtl/>
        </w:rPr>
        <w:t xml:space="preserve"> ופחות מאחוז אחד של </w:t>
      </w:r>
      <w:r w:rsidRPr="0014691E">
        <w:t>THC</w:t>
      </w:r>
      <w:r w:rsidRPr="0014691E">
        <w:rPr>
          <w:rFonts w:hint="cs"/>
          <w:rtl/>
        </w:rPr>
        <w:t>. מדובר בבשורה של ממש, שזכתה</w:t>
      </w:r>
      <w:r w:rsidRPr="0014691E">
        <w:rPr>
          <w:rtl/>
        </w:rPr>
        <w:t xml:space="preserve"> לפרסום בין</w:t>
      </w:r>
      <w:r w:rsidRPr="0014691E">
        <w:rPr>
          <w:rFonts w:hint="cs"/>
          <w:rtl/>
        </w:rPr>
        <w:t>-</w:t>
      </w:r>
      <w:r w:rsidRPr="0014691E">
        <w:rPr>
          <w:rtl/>
        </w:rPr>
        <w:t xml:space="preserve">לאומי </w:t>
      </w:r>
      <w:r w:rsidRPr="0014691E">
        <w:rPr>
          <w:rFonts w:hint="cs"/>
          <w:rtl/>
        </w:rPr>
        <w:t>עצום ה</w:t>
      </w:r>
      <w:r w:rsidRPr="0014691E">
        <w:rPr>
          <w:rtl/>
        </w:rPr>
        <w:t xml:space="preserve">מביא </w:t>
      </w:r>
      <w:r w:rsidRPr="0014691E">
        <w:rPr>
          <w:rFonts w:hint="cs"/>
          <w:rtl/>
        </w:rPr>
        <w:t xml:space="preserve">בין היתר </w:t>
      </w:r>
      <w:r w:rsidRPr="0014691E">
        <w:rPr>
          <w:rtl/>
        </w:rPr>
        <w:t>לפניות רבות מחברות בין לאומי</w:t>
      </w:r>
      <w:r w:rsidRPr="0014691E">
        <w:rPr>
          <w:rFonts w:hint="cs"/>
          <w:rtl/>
        </w:rPr>
        <w:t>ו</w:t>
      </w:r>
      <w:r w:rsidRPr="0014691E">
        <w:rPr>
          <w:rtl/>
        </w:rPr>
        <w:t>ת המעוניינות בי</w:t>
      </w:r>
      <w:r w:rsidRPr="0014691E">
        <w:rPr>
          <w:rFonts w:hint="cs"/>
          <w:rtl/>
        </w:rPr>
        <w:t>י</w:t>
      </w:r>
      <w:r w:rsidRPr="0014691E">
        <w:rPr>
          <w:rtl/>
        </w:rPr>
        <w:t>בוא מוצרי החברה מהזן הייחודי. הביקוש הרב מהווה פוטנציאל הכנסות נוסף ומשמעותי לקופת המדינה.</w:t>
      </w:r>
    </w:p>
    <w:p w14:paraId="529CE02B" w14:textId="77777777" w:rsidR="0089568A" w:rsidRPr="0014691E" w:rsidRDefault="0089568A" w:rsidP="0089568A">
      <w:pPr>
        <w:pStyle w:val="Hesber"/>
        <w:rPr>
          <w:rtl/>
        </w:rPr>
      </w:pPr>
      <w:r w:rsidRPr="0014691E">
        <w:rPr>
          <w:rtl/>
        </w:rPr>
        <w:t>יתרונותיו הרבים של ה</w:t>
      </w:r>
      <w:r w:rsidRPr="0014691E">
        <w:rPr>
          <w:rFonts w:hint="cs"/>
          <w:rtl/>
        </w:rPr>
        <w:t>-</w:t>
      </w:r>
      <w:r w:rsidRPr="0014691E">
        <w:t>CBD</w:t>
      </w:r>
      <w:r w:rsidRPr="0014691E">
        <w:rPr>
          <w:rtl/>
        </w:rPr>
        <w:t xml:space="preserve"> ידועים למערכת הרפואית ובעשור האחרון חברות אמריקאיות ואירופאיות משקיעות בפיתוח </w:t>
      </w:r>
      <w:r w:rsidRPr="0014691E">
        <w:t>CBD</w:t>
      </w:r>
      <w:r w:rsidRPr="0014691E">
        <w:rPr>
          <w:rtl/>
        </w:rPr>
        <w:t xml:space="preserve"> סינ</w:t>
      </w:r>
      <w:r w:rsidRPr="0014691E">
        <w:rPr>
          <w:rFonts w:hint="cs"/>
          <w:rtl/>
        </w:rPr>
        <w:t>תט</w:t>
      </w:r>
      <w:r w:rsidRPr="0014691E">
        <w:rPr>
          <w:rtl/>
        </w:rPr>
        <w:t>י (אשר להבדיל מה</w:t>
      </w:r>
      <w:r w:rsidRPr="0014691E">
        <w:rPr>
          <w:rFonts w:hint="cs"/>
          <w:rtl/>
        </w:rPr>
        <w:t>-</w:t>
      </w:r>
      <w:r w:rsidRPr="0014691E">
        <w:t>CBD</w:t>
      </w:r>
      <w:r w:rsidRPr="0014691E">
        <w:rPr>
          <w:rtl/>
        </w:rPr>
        <w:t xml:space="preserve"> הטבעי, גורם לתופעות לוואי).</w:t>
      </w:r>
    </w:p>
    <w:p w14:paraId="6750BD24" w14:textId="77777777" w:rsidR="0089568A" w:rsidRPr="0014691E" w:rsidRDefault="0089568A" w:rsidP="0089568A">
      <w:pPr>
        <w:pStyle w:val="Hesber"/>
        <w:rPr>
          <w:rtl/>
        </w:rPr>
      </w:pPr>
      <w:r w:rsidRPr="0014691E">
        <w:rPr>
          <w:rtl/>
        </w:rPr>
        <w:t>הזן הייחודי שפותח וקיים רק בישראל אינו דורש רישום פטנט להבדיל מפיתוחי ה</w:t>
      </w:r>
      <w:r w:rsidRPr="0014691E">
        <w:rPr>
          <w:rFonts w:hint="cs"/>
          <w:rtl/>
        </w:rPr>
        <w:t>-</w:t>
      </w:r>
      <w:r w:rsidRPr="0014691E">
        <w:t>CBD</w:t>
      </w:r>
      <w:r w:rsidRPr="0014691E">
        <w:rPr>
          <w:rtl/>
        </w:rPr>
        <w:t xml:space="preserve"> הסינ</w:t>
      </w:r>
      <w:r w:rsidRPr="0014691E">
        <w:rPr>
          <w:rFonts w:hint="cs"/>
          <w:rtl/>
        </w:rPr>
        <w:t>ת</w:t>
      </w:r>
      <w:r w:rsidRPr="0014691E">
        <w:rPr>
          <w:rtl/>
        </w:rPr>
        <w:t>ט</w:t>
      </w:r>
      <w:r w:rsidRPr="0014691E">
        <w:rPr>
          <w:rFonts w:hint="cs"/>
          <w:rtl/>
        </w:rPr>
        <w:t>י,</w:t>
      </w:r>
      <w:r w:rsidRPr="0014691E">
        <w:rPr>
          <w:rtl/>
        </w:rPr>
        <w:t xml:space="preserve"> הוא כאמור בעל יתרונות רפואיים רבים, לא גורם לתחושת "ריחוף", ללא תופעות לוואי (להבדיל מהחומרים הסינ</w:t>
      </w:r>
      <w:r w:rsidRPr="0014691E">
        <w:rPr>
          <w:rFonts w:hint="eastAsia"/>
          <w:rtl/>
        </w:rPr>
        <w:t>ת</w:t>
      </w:r>
      <w:r w:rsidRPr="0014691E">
        <w:rPr>
          <w:rtl/>
        </w:rPr>
        <w:t>טיים) ובעל פוטנציאל הכנסה משמעותי לקופת המדינה.</w:t>
      </w:r>
    </w:p>
    <w:p w14:paraId="1F750105" w14:textId="77777777" w:rsidR="0089568A" w:rsidRPr="0014691E" w:rsidRDefault="0089568A" w:rsidP="0089568A">
      <w:pPr>
        <w:pStyle w:val="Hesber"/>
        <w:rPr>
          <w:rtl/>
        </w:rPr>
      </w:pPr>
      <w:r w:rsidRPr="0014691E">
        <w:rPr>
          <w:rFonts w:hint="cs"/>
          <w:rtl/>
        </w:rPr>
        <w:t>אשר על כן, לאור יעילותו המוכחת של הקנאבידול ודווקא בשל היותו חומר שאינו בעל השפעה פסיכו-אקטיבית ולעי</w:t>
      </w:r>
      <w:r>
        <w:rPr>
          <w:rFonts w:hint="cs"/>
          <w:rtl/>
        </w:rPr>
        <w:t>תים אף מהווה חומר אנטי פסיכוטי מוצע תיקון נוסף זה.</w:t>
      </w:r>
    </w:p>
    <w:p w14:paraId="66B4E8B7" w14:textId="4FAA8429" w:rsidR="0089568A" w:rsidRDefault="0089568A" w:rsidP="002722DF">
      <w:pPr>
        <w:pStyle w:val="Hesber"/>
        <w:rPr>
          <w:rtl/>
        </w:rPr>
      </w:pPr>
      <w:r>
        <w:rPr>
          <w:rFonts w:hint="cs"/>
          <w:rtl/>
        </w:rPr>
        <w:t>הצעת חוק דומ</w:t>
      </w:r>
      <w:r w:rsidR="002722DF">
        <w:rPr>
          <w:rFonts w:hint="cs"/>
          <w:rtl/>
        </w:rPr>
        <w:t>ה</w:t>
      </w:r>
      <w:r>
        <w:rPr>
          <w:rFonts w:hint="cs"/>
          <w:rtl/>
        </w:rPr>
        <w:t xml:space="preserve"> בעיקר</w:t>
      </w:r>
      <w:r w:rsidR="002722DF">
        <w:rPr>
          <w:rFonts w:hint="cs"/>
          <w:rtl/>
        </w:rPr>
        <w:t>ה</w:t>
      </w:r>
      <w:r>
        <w:rPr>
          <w:rFonts w:hint="cs"/>
          <w:rtl/>
        </w:rPr>
        <w:t xml:space="preserve"> הונח</w:t>
      </w:r>
      <w:r w:rsidR="002722DF">
        <w:rPr>
          <w:rFonts w:hint="cs"/>
          <w:rtl/>
        </w:rPr>
        <w:t>ה</w:t>
      </w:r>
      <w:r>
        <w:rPr>
          <w:rFonts w:hint="cs"/>
          <w:rtl/>
        </w:rPr>
        <w:t xml:space="preserve"> על שולחן הכנסת העשרים על ידי חברת הכנסת שרן השכל וקבוצת חברי הכנסת (פ/2547/20).</w:t>
      </w:r>
    </w:p>
    <w:p w14:paraId="25591AF9" w14:textId="2DCFACE4" w:rsidR="006E6172" w:rsidRDefault="006E6172" w:rsidP="0089568A">
      <w:pPr>
        <w:pStyle w:val="Hesber"/>
        <w:rPr>
          <w:rtl/>
        </w:rPr>
      </w:pPr>
      <w:r>
        <w:rPr>
          <w:rFonts w:hint="cs"/>
          <w:rtl/>
        </w:rPr>
        <w:t>הצעת חוק זהה הונחה על שולחן הכנסת העשרים ושתיים על ידי חברת הכנסת שרן מרים השכל (פ/301/22)</w:t>
      </w:r>
    </w:p>
    <w:p w14:paraId="6BBC18E0" w14:textId="77777777" w:rsidR="0089568A" w:rsidRDefault="0089568A" w:rsidP="00DF2B1F">
      <w:pPr>
        <w:widowControl/>
        <w:spacing w:line="240" w:lineRule="auto"/>
        <w:jc w:val="left"/>
        <w:rPr>
          <w:rFonts w:eastAsia="Times New Roman"/>
          <w:sz w:val="26"/>
          <w:szCs w:val="26"/>
          <w:rtl/>
        </w:rPr>
      </w:pPr>
    </w:p>
    <w:p w14:paraId="0955382F" w14:textId="77777777" w:rsidR="006E6172" w:rsidRDefault="006E6172" w:rsidP="006E6172">
      <w:pPr>
        <w:ind w:left="2880" w:firstLine="720"/>
        <w:rPr>
          <w:sz w:val="26"/>
          <w:szCs w:val="26"/>
          <w:rtl/>
        </w:rPr>
      </w:pPr>
    </w:p>
    <w:p w14:paraId="3CCE7423" w14:textId="77777777" w:rsidR="0008454E" w:rsidRPr="00A83796" w:rsidRDefault="0008454E" w:rsidP="0008454E">
      <w:pPr>
        <w:pStyle w:val="Hesber"/>
        <w:rPr>
          <w:rtl/>
        </w:rPr>
      </w:pPr>
      <w:r w:rsidRPr="00A83796">
        <w:rPr>
          <w:rtl/>
        </w:rPr>
        <w:t>---------------------------------</w:t>
      </w:r>
      <w:bookmarkStart w:id="8" w:name="_GoBack"/>
      <w:bookmarkEnd w:id="8"/>
    </w:p>
    <w:p w14:paraId="574A4997" w14:textId="77777777" w:rsidR="0008454E" w:rsidRPr="00A83796" w:rsidRDefault="0008454E" w:rsidP="0008454E">
      <w:pPr>
        <w:pStyle w:val="Hesber"/>
        <w:rPr>
          <w:rtl/>
        </w:rPr>
      </w:pPr>
      <w:r w:rsidRPr="00A83796">
        <w:rPr>
          <w:rFonts w:hint="cs"/>
          <w:rtl/>
        </w:rPr>
        <w:t>הוגשה</w:t>
      </w:r>
      <w:r w:rsidRPr="00A83796">
        <w:rPr>
          <w:rtl/>
        </w:rPr>
        <w:t xml:space="preserve"> </w:t>
      </w:r>
      <w:r w:rsidRPr="00A83796">
        <w:rPr>
          <w:rFonts w:hint="cs"/>
          <w:rtl/>
        </w:rPr>
        <w:t>ליו</w:t>
      </w:r>
      <w:r w:rsidRPr="00A83796">
        <w:rPr>
          <w:rtl/>
        </w:rPr>
        <w:t>"</w:t>
      </w:r>
      <w:r w:rsidRPr="00A83796">
        <w:rPr>
          <w:rFonts w:hint="cs"/>
          <w:rtl/>
        </w:rPr>
        <w:t>ר</w:t>
      </w:r>
      <w:r w:rsidRPr="00A83796">
        <w:rPr>
          <w:rtl/>
        </w:rPr>
        <w:t xml:space="preserve"> </w:t>
      </w:r>
      <w:r w:rsidRPr="00A83796">
        <w:rPr>
          <w:rFonts w:hint="cs"/>
          <w:rtl/>
        </w:rPr>
        <w:t>הכנסת</w:t>
      </w:r>
      <w:r w:rsidRPr="00A83796">
        <w:rPr>
          <w:rtl/>
        </w:rPr>
        <w:t xml:space="preserve"> </w:t>
      </w:r>
      <w:r w:rsidRPr="00A83796">
        <w:rPr>
          <w:rFonts w:hint="cs"/>
          <w:rtl/>
        </w:rPr>
        <w:t>והסגנים</w:t>
      </w:r>
    </w:p>
    <w:p w14:paraId="57F60EC1" w14:textId="77777777" w:rsidR="0008454E" w:rsidRPr="00A83796" w:rsidRDefault="0008454E" w:rsidP="0008454E">
      <w:pPr>
        <w:pStyle w:val="Hesber"/>
        <w:rPr>
          <w:rtl/>
        </w:rPr>
      </w:pPr>
      <w:r w:rsidRPr="00A83796">
        <w:rPr>
          <w:rFonts w:hint="cs"/>
          <w:rtl/>
        </w:rPr>
        <w:t>והונחה</w:t>
      </w:r>
      <w:r w:rsidRPr="00A83796">
        <w:rPr>
          <w:rtl/>
        </w:rPr>
        <w:t xml:space="preserve"> </w:t>
      </w:r>
      <w:r w:rsidRPr="00A83796">
        <w:rPr>
          <w:rFonts w:hint="cs"/>
          <w:rtl/>
        </w:rPr>
        <w:t>על</w:t>
      </w:r>
      <w:r w:rsidRPr="00A83796">
        <w:rPr>
          <w:rtl/>
        </w:rPr>
        <w:t xml:space="preserve"> </w:t>
      </w:r>
      <w:r w:rsidRPr="00A83796">
        <w:rPr>
          <w:rFonts w:hint="cs"/>
          <w:rtl/>
        </w:rPr>
        <w:t>שולחן</w:t>
      </w:r>
      <w:r w:rsidRPr="00A83796">
        <w:rPr>
          <w:rtl/>
        </w:rPr>
        <w:t xml:space="preserve"> </w:t>
      </w:r>
      <w:r w:rsidRPr="00A83796">
        <w:rPr>
          <w:rFonts w:hint="cs"/>
          <w:rtl/>
        </w:rPr>
        <w:t>הכנסת</w:t>
      </w:r>
      <w:r w:rsidRPr="00A83796">
        <w:rPr>
          <w:rtl/>
        </w:rPr>
        <w:t xml:space="preserve"> </w:t>
      </w:r>
      <w:r w:rsidRPr="00A83796">
        <w:rPr>
          <w:rFonts w:hint="cs"/>
          <w:rtl/>
        </w:rPr>
        <w:t>ביום</w:t>
      </w:r>
    </w:p>
    <w:p w14:paraId="79DE3BE1" w14:textId="661907D5" w:rsidR="006E6172" w:rsidRDefault="006C62F8" w:rsidP="006C62F8">
      <w:pPr>
        <w:widowControl/>
        <w:spacing w:line="240" w:lineRule="auto"/>
        <w:jc w:val="left"/>
        <w:rPr>
          <w:rFonts w:eastAsia="Times New Roman"/>
          <w:sz w:val="26"/>
          <w:szCs w:val="26"/>
          <w:rtl/>
        </w:rPr>
      </w:pPr>
      <w:r w:rsidRPr="006C62F8">
        <w:rPr>
          <w:rFonts w:ascii="Arial" w:eastAsia="Arial Unicode MS" w:hAnsi="Arial"/>
          <w:snapToGrid w:val="0"/>
          <w:sz w:val="20"/>
          <w:szCs w:val="26"/>
          <w:rtl/>
        </w:rPr>
        <w:t>כ"ו בניסן התש"ף – 20.4.20</w:t>
      </w:r>
    </w:p>
    <w:sectPr w:rsidR="006E6172" w:rsidSect="001B4275">
      <w:footerReference w:type="even" r:id="rId11"/>
      <w:footerReference w:type="default" r:id="rId12"/>
      <w:pgSz w:w="11907" w:h="16840" w:code="9"/>
      <w:pgMar w:top="1701" w:right="1134" w:bottom="1417" w:left="1134" w:header="680" w:footer="680" w:gutter="0"/>
      <w:cols w:space="720"/>
      <w:noEndnote/>
      <w:titlePg/>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61D7" w14:textId="533FD82F"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6C62F8">
      <w:rPr>
        <w:rStyle w:val="ab"/>
        <w:noProof/>
        <w:rtl/>
      </w:rPr>
      <w:t>4</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674C0" w14:textId="77777777" w:rsidR="00D142D3" w:rsidRDefault="00D142D3" w:rsidP="001B4275">
      <w:pPr>
        <w:ind w:left="0"/>
      </w:pPr>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68F38963" w14:textId="77777777" w:rsidR="00D928C1" w:rsidRDefault="00D928C1" w:rsidP="00D928C1">
      <w:pPr>
        <w:pStyle w:val="a4"/>
      </w:pPr>
      <w:r>
        <w:rPr>
          <w:rStyle w:val="a6"/>
        </w:rPr>
        <w:footnoteRef/>
      </w:r>
      <w:r>
        <w:rPr>
          <w:rtl/>
        </w:rPr>
        <w:t xml:space="preserve"> דיני מדינת ישראל, נוסח חדש 27, עמ' 526.</w:t>
      </w:r>
    </w:p>
  </w:footnote>
  <w:footnote w:id="3">
    <w:p w14:paraId="30814A91" w14:textId="2F8DCD7B" w:rsidR="0010154F" w:rsidRDefault="0010154F">
      <w:pPr>
        <w:pStyle w:val="a4"/>
      </w:pPr>
      <w:r>
        <w:rPr>
          <w:rStyle w:val="a6"/>
        </w:rPr>
        <w:footnoteRef/>
      </w:r>
      <w:r>
        <w:rPr>
          <w:rtl/>
        </w:rPr>
        <w:t xml:space="preserve"> </w:t>
      </w:r>
      <w:r>
        <w:rPr>
          <w:rFonts w:hint="cs"/>
          <w:rtl/>
        </w:rPr>
        <w:t>ס"ח התשמ"ג, עמ' 148.</w:t>
      </w:r>
    </w:p>
  </w:footnote>
  <w:footnote w:id="4">
    <w:p w14:paraId="62FFE4F8" w14:textId="7865882E" w:rsidR="0010154F" w:rsidRDefault="0010154F">
      <w:pPr>
        <w:pStyle w:val="a4"/>
      </w:pPr>
      <w:r>
        <w:rPr>
          <w:rStyle w:val="a6"/>
        </w:rPr>
        <w:footnoteRef/>
      </w:r>
      <w:r>
        <w:rPr>
          <w:rtl/>
        </w:rPr>
        <w:t xml:space="preserve"> </w:t>
      </w:r>
      <w:r>
        <w:rPr>
          <w:rFonts w:hint="cs"/>
          <w:rtl/>
        </w:rPr>
        <w:t>ס"ח התשע"ט, עמ' 298.</w:t>
      </w:r>
    </w:p>
  </w:footnote>
  <w:footnote w:id="5">
    <w:p w14:paraId="112A08FE" w14:textId="633683FB" w:rsidR="001B4275" w:rsidRDefault="001B4275">
      <w:pPr>
        <w:pStyle w:val="a4"/>
      </w:pPr>
      <w:r>
        <w:rPr>
          <w:rStyle w:val="a6"/>
        </w:rPr>
        <w:footnoteRef/>
      </w:r>
      <w:r>
        <w:rPr>
          <w:rtl/>
        </w:rPr>
        <w:t xml:space="preserve"> </w:t>
      </w:r>
      <w:r>
        <w:rPr>
          <w:rFonts w:hint="cs"/>
          <w:rtl/>
        </w:rPr>
        <w:t>ס"ח התשע"ח, עמ' 916.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943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A2E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E00D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D24B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1685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A2E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33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8CFF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8A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85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1"/>
  </w:num>
  <w:num w:numId="14">
    <w:abstractNumId w:val="16"/>
  </w:num>
  <w:num w:numId="15">
    <w:abstractNumId w:val="13"/>
  </w:num>
  <w:num w:numId="16">
    <w:abstractNumId w:val="13"/>
    <w:lvlOverride w:ilvl="0">
      <w:startOverride w:val="1"/>
    </w:lvlOverride>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8454E"/>
    <w:rsid w:val="000A542E"/>
    <w:rsid w:val="000D4374"/>
    <w:rsid w:val="0010154F"/>
    <w:rsid w:val="00102B6B"/>
    <w:rsid w:val="001052D4"/>
    <w:rsid w:val="0010644B"/>
    <w:rsid w:val="001207F8"/>
    <w:rsid w:val="00121924"/>
    <w:rsid w:val="001279A8"/>
    <w:rsid w:val="0014195F"/>
    <w:rsid w:val="00152609"/>
    <w:rsid w:val="00153E1B"/>
    <w:rsid w:val="001A0623"/>
    <w:rsid w:val="001B18DF"/>
    <w:rsid w:val="001B4275"/>
    <w:rsid w:val="001C23B0"/>
    <w:rsid w:val="001D7AAF"/>
    <w:rsid w:val="00203A7F"/>
    <w:rsid w:val="0021633A"/>
    <w:rsid w:val="002200A1"/>
    <w:rsid w:val="002362BF"/>
    <w:rsid w:val="00241B97"/>
    <w:rsid w:val="002425D1"/>
    <w:rsid w:val="00246756"/>
    <w:rsid w:val="00251E58"/>
    <w:rsid w:val="00254605"/>
    <w:rsid w:val="00266D86"/>
    <w:rsid w:val="002722DF"/>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AF6"/>
    <w:rsid w:val="00416B4D"/>
    <w:rsid w:val="00417CFC"/>
    <w:rsid w:val="004A06DC"/>
    <w:rsid w:val="004B24ED"/>
    <w:rsid w:val="004B6625"/>
    <w:rsid w:val="004D2D82"/>
    <w:rsid w:val="004D3876"/>
    <w:rsid w:val="004E4552"/>
    <w:rsid w:val="004E6CDF"/>
    <w:rsid w:val="00553C9D"/>
    <w:rsid w:val="00562A66"/>
    <w:rsid w:val="005B064E"/>
    <w:rsid w:val="005D51AE"/>
    <w:rsid w:val="005F4E3E"/>
    <w:rsid w:val="0062674B"/>
    <w:rsid w:val="006363B2"/>
    <w:rsid w:val="00644940"/>
    <w:rsid w:val="006818A9"/>
    <w:rsid w:val="00685107"/>
    <w:rsid w:val="006A2D81"/>
    <w:rsid w:val="006C1D0D"/>
    <w:rsid w:val="006C62F8"/>
    <w:rsid w:val="006E6172"/>
    <w:rsid w:val="0070601E"/>
    <w:rsid w:val="00712C72"/>
    <w:rsid w:val="00735FE9"/>
    <w:rsid w:val="00763CAA"/>
    <w:rsid w:val="00765F66"/>
    <w:rsid w:val="0078664F"/>
    <w:rsid w:val="007A27CE"/>
    <w:rsid w:val="007C3FA6"/>
    <w:rsid w:val="007D585A"/>
    <w:rsid w:val="007D5A12"/>
    <w:rsid w:val="007E59F9"/>
    <w:rsid w:val="00810BCD"/>
    <w:rsid w:val="00812C98"/>
    <w:rsid w:val="00814D92"/>
    <w:rsid w:val="00830DB6"/>
    <w:rsid w:val="0083181D"/>
    <w:rsid w:val="00843EB2"/>
    <w:rsid w:val="00865572"/>
    <w:rsid w:val="00874BBC"/>
    <w:rsid w:val="008851F7"/>
    <w:rsid w:val="00892135"/>
    <w:rsid w:val="00895449"/>
    <w:rsid w:val="0089568A"/>
    <w:rsid w:val="00897879"/>
    <w:rsid w:val="008A3273"/>
    <w:rsid w:val="008A6870"/>
    <w:rsid w:val="008C2DDC"/>
    <w:rsid w:val="008C7516"/>
    <w:rsid w:val="008E0F17"/>
    <w:rsid w:val="008E6EC7"/>
    <w:rsid w:val="008F0D63"/>
    <w:rsid w:val="008F1308"/>
    <w:rsid w:val="008F2C35"/>
    <w:rsid w:val="008F6665"/>
    <w:rsid w:val="00904591"/>
    <w:rsid w:val="00905E5F"/>
    <w:rsid w:val="0091204F"/>
    <w:rsid w:val="009203DB"/>
    <w:rsid w:val="00923CD4"/>
    <w:rsid w:val="00923DE9"/>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F1AA2"/>
    <w:rsid w:val="00D142D3"/>
    <w:rsid w:val="00D17774"/>
    <w:rsid w:val="00D63620"/>
    <w:rsid w:val="00D8410D"/>
    <w:rsid w:val="00D867D7"/>
    <w:rsid w:val="00D928C1"/>
    <w:rsid w:val="00DB7060"/>
    <w:rsid w:val="00DE3153"/>
    <w:rsid w:val="00DF2B1F"/>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F01F6BA-FA90-4F87-A8D1-78D5A256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275"/>
    <w:pPr>
      <w:widowControl w:val="0"/>
      <w:bidi/>
      <w:spacing w:line="360" w:lineRule="auto"/>
      <w:ind w:left="340"/>
      <w:contextualSpacing/>
      <w:jc w:val="both"/>
    </w:pPr>
    <w:rPr>
      <w:rFonts w:ascii="David" w:eastAsiaTheme="minorHAnsi" w:hAnsi="David" w:cs="David"/>
      <w:sz w:val="24"/>
      <w:szCs w:val="24"/>
    </w:rPr>
  </w:style>
  <w:style w:type="paragraph" w:styleId="1">
    <w:name w:val="heading 1"/>
    <w:basedOn w:val="a"/>
    <w:next w:val="a"/>
    <w:link w:val="10"/>
    <w:uiPriority w:val="9"/>
    <w:qFormat/>
    <w:rsid w:val="001B4275"/>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1B4275"/>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1B4275"/>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1B4275"/>
    <w:pPr>
      <w:numPr>
        <w:numId w:val="18"/>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1B4275"/>
    <w:pPr>
      <w:spacing w:line="259" w:lineRule="auto"/>
      <w:outlineLvl w:val="4"/>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1B4275"/>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1B4275"/>
    <w:rPr>
      <w:sz w:val="36"/>
      <w:szCs w:val="52"/>
    </w:rPr>
  </w:style>
  <w:style w:type="paragraph" w:customStyle="1" w:styleId="Cover3-Haknesset">
    <w:name w:val="Cover 3-Haknesset"/>
    <w:basedOn w:val="Cover1-Reshumot"/>
    <w:rsid w:val="001B4275"/>
    <w:rPr>
      <w:b/>
      <w:bCs/>
      <w:spacing w:val="60"/>
    </w:rPr>
  </w:style>
  <w:style w:type="paragraph" w:customStyle="1" w:styleId="Cover4-Date">
    <w:name w:val="Cover 4-Date"/>
    <w:basedOn w:val="a"/>
    <w:rsid w:val="001B4275"/>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1B4275"/>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1B4275"/>
    <w:pPr>
      <w:keepNext/>
      <w:keepLines/>
      <w:snapToGrid w:val="0"/>
      <w:spacing w:before="240"/>
      <w:jc w:val="center"/>
      <w:outlineLvl w:val="0"/>
    </w:pPr>
    <w:rPr>
      <w:rFonts w:ascii="Arial" w:eastAsia="Arial Unicode MS" w:hAnsi="Arial"/>
      <w:b/>
      <w:bCs/>
      <w:snapToGrid w:val="0"/>
      <w:sz w:val="20"/>
      <w:szCs w:val="26"/>
    </w:rPr>
  </w:style>
  <w:style w:type="paragraph" w:customStyle="1" w:styleId="HeadHatzaotHok4Futer">
    <w:name w:val="Head HatzaotHok4Futer"/>
    <w:basedOn w:val="HeadHatzaotHok"/>
    <w:rsid w:val="001B4275"/>
    <w:pPr>
      <w:spacing w:before="120" w:after="120"/>
    </w:pPr>
    <w:rPr>
      <w:color w:val="FF0000"/>
      <w:w w:val="80"/>
    </w:rPr>
  </w:style>
  <w:style w:type="paragraph" w:styleId="a3">
    <w:name w:val="endnote text"/>
    <w:basedOn w:val="a"/>
    <w:semiHidden/>
    <w:rsid w:val="001B4275"/>
    <w:pPr>
      <w:ind w:left="227" w:hanging="227"/>
    </w:pPr>
    <w:rPr>
      <w:sz w:val="14"/>
      <w:szCs w:val="22"/>
    </w:rPr>
  </w:style>
  <w:style w:type="paragraph" w:customStyle="1" w:styleId="TableText">
    <w:name w:val="Table Text"/>
    <w:basedOn w:val="a"/>
    <w:rsid w:val="001B4275"/>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1B4275"/>
    <w:pPr>
      <w:outlineLvl w:val="2"/>
    </w:pPr>
  </w:style>
  <w:style w:type="paragraph" w:customStyle="1" w:styleId="TableBlock">
    <w:name w:val="Table Block"/>
    <w:basedOn w:val="TableText"/>
    <w:rsid w:val="001B4275"/>
    <w:pPr>
      <w:jc w:val="both"/>
    </w:pPr>
  </w:style>
  <w:style w:type="paragraph" w:customStyle="1" w:styleId="TableHead">
    <w:name w:val="Table Head"/>
    <w:basedOn w:val="TableText"/>
    <w:rsid w:val="001B4275"/>
    <w:pPr>
      <w:jc w:val="center"/>
      <w:outlineLvl w:val="1"/>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1B4275"/>
    <w:pPr>
      <w:outlineLvl w:val="9"/>
    </w:pPr>
  </w:style>
  <w:style w:type="paragraph" w:customStyle="1" w:styleId="Hesber">
    <w:name w:val="Hesber"/>
    <w:basedOn w:val="a"/>
    <w:rsid w:val="001B4275"/>
    <w:pPr>
      <w:snapToGrid w:val="0"/>
      <w:ind w:left="0" w:firstLine="340"/>
    </w:pPr>
    <w:rPr>
      <w:rFonts w:ascii="Arial" w:eastAsia="Arial Unicode MS" w:hAnsi="Arial"/>
      <w:snapToGrid w:val="0"/>
      <w:sz w:val="20"/>
      <w:szCs w:val="26"/>
    </w:rPr>
  </w:style>
  <w:style w:type="paragraph" w:styleId="a4">
    <w:name w:val="footnote text"/>
    <w:basedOn w:val="a"/>
    <w:link w:val="a5"/>
    <w:autoRedefine/>
    <w:semiHidden/>
    <w:rsid w:val="001B4275"/>
    <w:pPr>
      <w:snapToGrid w:val="0"/>
      <w:spacing w:line="240" w:lineRule="auto"/>
      <w:ind w:left="0"/>
      <w:jc w:val="left"/>
    </w:pPr>
    <w:rPr>
      <w:rFonts w:ascii="Arial" w:eastAsia="Arial Unicode MS" w:hAnsi="Arial"/>
      <w:snapToGrid w:val="0"/>
      <w:sz w:val="14"/>
      <w:szCs w:val="20"/>
    </w:rPr>
  </w:style>
  <w:style w:type="character" w:styleId="a6">
    <w:name w:val="footnote reference"/>
    <w:aliases w:val="Footnote Reference"/>
    <w:basedOn w:val="a0"/>
    <w:semiHidden/>
    <w:rsid w:val="001B4275"/>
    <w:rPr>
      <w:vertAlign w:val="superscript"/>
    </w:rPr>
  </w:style>
  <w:style w:type="paragraph" w:customStyle="1" w:styleId="HesberHeading">
    <w:name w:val="Hesber Heading"/>
    <w:basedOn w:val="Hesber"/>
    <w:rsid w:val="001B4275"/>
    <w:pPr>
      <w:tabs>
        <w:tab w:val="left" w:pos="624"/>
        <w:tab w:val="left" w:pos="1247"/>
      </w:tabs>
    </w:pPr>
    <w:rPr>
      <w:b/>
      <w:bCs/>
    </w:rPr>
  </w:style>
  <w:style w:type="paragraph" w:customStyle="1" w:styleId="HesberWriters">
    <w:name w:val="Hesber Writers"/>
    <w:basedOn w:val="Hesber"/>
    <w:rsid w:val="001B4275"/>
    <w:pPr>
      <w:spacing w:before="120" w:after="120"/>
      <w:ind w:left="1418"/>
      <w:jc w:val="right"/>
    </w:pPr>
    <w:rPr>
      <w:b/>
      <w:bCs/>
    </w:rPr>
  </w:style>
  <w:style w:type="paragraph" w:customStyle="1" w:styleId="Hesber1st">
    <w:name w:val="Hesber 1st"/>
    <w:basedOn w:val="Hesber"/>
    <w:rsid w:val="001B4275"/>
    <w:pPr>
      <w:tabs>
        <w:tab w:val="left" w:pos="680"/>
        <w:tab w:val="left" w:pos="1020"/>
      </w:tabs>
      <w:ind w:firstLine="0"/>
    </w:pPr>
  </w:style>
  <w:style w:type="character" w:styleId="a7">
    <w:name w:val="endnote reference"/>
    <w:basedOn w:val="a0"/>
    <w:semiHidden/>
    <w:rsid w:val="001B4275"/>
    <w:rPr>
      <w:vertAlign w:val="superscript"/>
    </w:rPr>
  </w:style>
  <w:style w:type="paragraph" w:customStyle="1" w:styleId="TableBlockOutdent">
    <w:name w:val="Table BlockOutdent"/>
    <w:basedOn w:val="TableBlock"/>
    <w:rsid w:val="001B4275"/>
    <w:pPr>
      <w:ind w:left="624" w:hanging="624"/>
    </w:pPr>
  </w:style>
  <w:style w:type="paragraph" w:styleId="a8">
    <w:name w:val="header"/>
    <w:basedOn w:val="a"/>
    <w:rsid w:val="001B4275"/>
    <w:pPr>
      <w:tabs>
        <w:tab w:val="center" w:pos="4153"/>
        <w:tab w:val="right" w:pos="8306"/>
      </w:tabs>
    </w:pPr>
  </w:style>
  <w:style w:type="paragraph" w:styleId="a9">
    <w:name w:val="footer"/>
    <w:basedOn w:val="a"/>
    <w:rsid w:val="001B4275"/>
    <w:pPr>
      <w:tabs>
        <w:tab w:val="center" w:pos="4153"/>
        <w:tab w:val="right" w:pos="8306"/>
      </w:tabs>
    </w:pPr>
  </w:style>
  <w:style w:type="paragraph" w:customStyle="1" w:styleId="HeadDivreiHesber">
    <w:name w:val="Head DivreiHesber"/>
    <w:basedOn w:val="a"/>
    <w:rsid w:val="001B4275"/>
    <w:pPr>
      <w:snapToGrid w:val="0"/>
      <w:spacing w:before="360" w:after="120"/>
      <w:jc w:val="center"/>
      <w:outlineLvl w:val="1"/>
    </w:pPr>
    <w:rPr>
      <w:rFonts w:ascii="Arial" w:eastAsia="Arial Unicode MS" w:hAnsi="Arial"/>
      <w:b/>
      <w:snapToGrid w:val="0"/>
      <w:spacing w:val="40"/>
      <w:sz w:val="20"/>
      <w:szCs w:val="26"/>
    </w:rPr>
  </w:style>
  <w:style w:type="paragraph" w:customStyle="1" w:styleId="Ragil">
    <w:name w:val="Ragil"/>
    <w:basedOn w:val="a"/>
    <w:rsid w:val="001B4275"/>
    <w:pPr>
      <w:snapToGrid w:val="0"/>
      <w:jc w:val="left"/>
    </w:pPr>
    <w:rPr>
      <w:rFonts w:ascii="Arial" w:eastAsia="Arial Unicode MS" w:hAnsi="Arial"/>
      <w:snapToGrid w:val="0"/>
      <w:sz w:val="20"/>
      <w:szCs w:val="26"/>
    </w:rPr>
  </w:style>
  <w:style w:type="paragraph" w:styleId="aa">
    <w:name w:val="Title"/>
    <w:basedOn w:val="a"/>
    <w:qFormat/>
    <w:rsid w:val="00943386"/>
    <w:pPr>
      <w:jc w:val="center"/>
    </w:pPr>
    <w:rPr>
      <w:b/>
      <w:bCs/>
      <w:sz w:val="28"/>
      <w:szCs w:val="28"/>
      <w:u w:val="single"/>
    </w:rPr>
  </w:style>
  <w:style w:type="character" w:styleId="ab">
    <w:name w:val="page number"/>
    <w:basedOn w:val="a0"/>
    <w:rsid w:val="001B4275"/>
  </w:style>
  <w:style w:type="paragraph" w:customStyle="1" w:styleId="David">
    <w:name w:val="רגיל + (עברית ושפות אחרות) David"/>
    <w:aliases w:val="‏13 נק',מודגש,אחרי:  6 נק'"/>
    <w:basedOn w:val="a"/>
    <w:rsid w:val="001207F8"/>
    <w:pPr>
      <w:jc w:val="left"/>
    </w:pPr>
    <w:rPr>
      <w:sz w:val="26"/>
      <w:szCs w:val="26"/>
    </w:rPr>
  </w:style>
  <w:style w:type="paragraph" w:styleId="ac">
    <w:name w:val="Balloon Text"/>
    <w:basedOn w:val="a"/>
    <w:link w:val="ad"/>
    <w:semiHidden/>
    <w:unhideWhenUsed/>
    <w:rsid w:val="00325C14"/>
    <w:pPr>
      <w:spacing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paragraph" w:styleId="NormalWeb">
    <w:name w:val="Normal (Web)"/>
    <w:basedOn w:val="a"/>
    <w:uiPriority w:val="99"/>
    <w:semiHidden/>
    <w:unhideWhenUsed/>
    <w:rsid w:val="00DF2B1F"/>
    <w:pPr>
      <w:widowControl/>
      <w:bidi w:val="0"/>
      <w:spacing w:before="100" w:beforeAutospacing="1" w:after="100" w:afterAutospacing="1" w:line="240" w:lineRule="auto"/>
      <w:jc w:val="left"/>
    </w:pPr>
    <w:rPr>
      <w:rFonts w:ascii="Times New Roman" w:eastAsia="Times New Roman" w:hAnsi="Times New Roman" w:cs="Times New Roman"/>
    </w:rPr>
  </w:style>
  <w:style w:type="character" w:styleId="Hyperlink">
    <w:name w:val="Hyperlink"/>
    <w:basedOn w:val="a0"/>
    <w:uiPriority w:val="99"/>
    <w:unhideWhenUsed/>
    <w:rsid w:val="001B4275"/>
    <w:rPr>
      <w:color w:val="0000FF" w:themeColor="hyperlink"/>
      <w:u w:val="single"/>
    </w:rPr>
  </w:style>
  <w:style w:type="character" w:customStyle="1" w:styleId="a5">
    <w:name w:val="טקסט הערת שוליים תו"/>
    <w:basedOn w:val="a0"/>
    <w:link w:val="a4"/>
    <w:semiHidden/>
    <w:rsid w:val="00D928C1"/>
    <w:rPr>
      <w:rFonts w:ascii="Arial" w:eastAsia="Arial Unicode MS" w:hAnsi="Arial" w:cs="David"/>
      <w:snapToGrid w:val="0"/>
      <w:sz w:val="14"/>
    </w:rPr>
  </w:style>
  <w:style w:type="character" w:customStyle="1" w:styleId="10">
    <w:name w:val="כותרת 1 תו"/>
    <w:basedOn w:val="a0"/>
    <w:link w:val="1"/>
    <w:uiPriority w:val="9"/>
    <w:rsid w:val="001B4275"/>
    <w:rPr>
      <w:rFonts w:asciiTheme="majorHAnsi" w:eastAsiaTheme="majorEastAsia" w:hAnsiTheme="majorHAnsi" w:cs="David"/>
      <w:bCs/>
      <w:sz w:val="32"/>
      <w:szCs w:val="36"/>
    </w:rPr>
  </w:style>
  <w:style w:type="character" w:customStyle="1" w:styleId="20">
    <w:name w:val="כותרת 2 תו"/>
    <w:basedOn w:val="a0"/>
    <w:link w:val="2"/>
    <w:rsid w:val="001B4275"/>
    <w:rPr>
      <w:rFonts w:asciiTheme="majorHAnsi" w:eastAsiaTheme="majorEastAsia" w:hAnsiTheme="majorHAnsi" w:cs="David"/>
      <w:bCs/>
      <w:sz w:val="26"/>
      <w:szCs w:val="36"/>
      <w:u w:val="single"/>
    </w:rPr>
  </w:style>
  <w:style w:type="character" w:customStyle="1" w:styleId="30">
    <w:name w:val="כותרת 3 תו"/>
    <w:basedOn w:val="a0"/>
    <w:link w:val="3"/>
    <w:rsid w:val="001B4275"/>
    <w:rPr>
      <w:rFonts w:asciiTheme="majorHAnsi" w:eastAsiaTheme="majorEastAsia" w:hAnsiTheme="majorHAnsi" w:cs="David"/>
      <w:sz w:val="24"/>
      <w:szCs w:val="28"/>
      <w:u w:val="double"/>
    </w:rPr>
  </w:style>
  <w:style w:type="character" w:customStyle="1" w:styleId="40">
    <w:name w:val="כותרת 4 תו"/>
    <w:basedOn w:val="a0"/>
    <w:link w:val="4"/>
    <w:uiPriority w:val="9"/>
    <w:rsid w:val="001B4275"/>
    <w:rPr>
      <w:rFonts w:ascii="David" w:eastAsiaTheme="minorHAnsi" w:hAnsi="David" w:cs="David"/>
      <w:b/>
      <w:bCs/>
      <w:color w:val="000000" w:themeColor="text1"/>
      <w:sz w:val="24"/>
      <w:szCs w:val="28"/>
    </w:rPr>
  </w:style>
  <w:style w:type="character" w:customStyle="1" w:styleId="50">
    <w:name w:val="כותרת 5 תו"/>
    <w:basedOn w:val="a0"/>
    <w:link w:val="5"/>
    <w:uiPriority w:val="9"/>
    <w:rsid w:val="001B4275"/>
    <w:rPr>
      <w:rFonts w:ascii="David" w:eastAsiaTheme="minorHAnsi" w:hAnsi="David" w:cs="David"/>
      <w:color w:val="000000" w:themeColor="text1"/>
      <w:sz w:val="24"/>
      <w:szCs w:val="24"/>
    </w:rPr>
  </w:style>
  <w:style w:type="paragraph" w:styleId="ae">
    <w:name w:val="TOC Heading"/>
    <w:basedOn w:val="1"/>
    <w:next w:val="a"/>
    <w:uiPriority w:val="39"/>
    <w:unhideWhenUsed/>
    <w:qFormat/>
    <w:rsid w:val="001B4275"/>
    <w:pPr>
      <w:widowControl/>
      <w:spacing w:before="120" w:after="120"/>
      <w:outlineLvl w:val="9"/>
    </w:pPr>
    <w:rPr>
      <w:rtl/>
      <w:cs/>
    </w:rPr>
  </w:style>
  <w:style w:type="paragraph" w:styleId="TOC1">
    <w:name w:val="toc 1"/>
    <w:basedOn w:val="a"/>
    <w:next w:val="a"/>
    <w:autoRedefine/>
    <w:uiPriority w:val="39"/>
    <w:unhideWhenUsed/>
    <w:rsid w:val="001B4275"/>
    <w:pPr>
      <w:tabs>
        <w:tab w:val="right" w:leader="dot" w:pos="9629"/>
      </w:tabs>
      <w:spacing w:after="100"/>
    </w:pPr>
    <w:rPr>
      <w:bCs/>
      <w:szCs w:val="22"/>
    </w:rPr>
  </w:style>
  <w:style w:type="paragraph" w:styleId="TOC2">
    <w:name w:val="toc 2"/>
    <w:basedOn w:val="a"/>
    <w:next w:val="a"/>
    <w:uiPriority w:val="39"/>
    <w:unhideWhenUsed/>
    <w:rsid w:val="001B4275"/>
    <w:pPr>
      <w:tabs>
        <w:tab w:val="right" w:leader="dot" w:pos="9628"/>
      </w:tabs>
      <w:spacing w:after="100"/>
    </w:pPr>
    <w:rPr>
      <w:szCs w:val="22"/>
    </w:rPr>
  </w:style>
  <w:style w:type="paragraph" w:styleId="TOC3">
    <w:name w:val="toc 3"/>
    <w:basedOn w:val="a"/>
    <w:next w:val="a"/>
    <w:uiPriority w:val="39"/>
    <w:unhideWhenUsed/>
    <w:rsid w:val="001B4275"/>
    <w:pPr>
      <w:numPr>
        <w:numId w:val="21"/>
      </w:numPr>
      <w:tabs>
        <w:tab w:val="right" w:leader="dot" w:pos="9629"/>
      </w:tabs>
      <w:spacing w:after="100"/>
      <w:ind w:left="811" w:hanging="357"/>
    </w:pPr>
    <w:rPr>
      <w:szCs w:val="22"/>
    </w:rPr>
  </w:style>
  <w:style w:type="paragraph" w:styleId="TOC4">
    <w:name w:val="toc 4"/>
    <w:basedOn w:val="a"/>
    <w:next w:val="a"/>
    <w:autoRedefine/>
    <w:unhideWhenUsed/>
    <w:qFormat/>
    <w:rsid w:val="001B4275"/>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1B4275"/>
    <w:pPr>
      <w:tabs>
        <w:tab w:val="right" w:leader="dot" w:pos="9628"/>
      </w:tabs>
      <w:spacing w:after="100"/>
      <w:ind w:left="567"/>
    </w:pPr>
    <w:rPr>
      <w:szCs w:val="22"/>
    </w:rPr>
  </w:style>
  <w:style w:type="paragraph" w:styleId="TOC6">
    <w:name w:val="toc 6"/>
    <w:basedOn w:val="a"/>
    <w:next w:val="a"/>
    <w:autoRedefine/>
    <w:semiHidden/>
    <w:unhideWhenUsed/>
    <w:rsid w:val="001B4275"/>
    <w:pPr>
      <w:spacing w:after="100"/>
      <w:ind w:left="850"/>
    </w:pPr>
  </w:style>
  <w:style w:type="paragraph" w:styleId="TOC7">
    <w:name w:val="toc 7"/>
    <w:basedOn w:val="a"/>
    <w:next w:val="a"/>
    <w:autoRedefine/>
    <w:semiHidden/>
    <w:unhideWhenUsed/>
    <w:rsid w:val="001B4275"/>
    <w:pPr>
      <w:spacing w:after="100"/>
      <w:ind w:left="1020"/>
    </w:pPr>
  </w:style>
  <w:style w:type="paragraph" w:styleId="TOC8">
    <w:name w:val="toc 8"/>
    <w:basedOn w:val="a"/>
    <w:next w:val="a"/>
    <w:autoRedefine/>
    <w:semiHidden/>
    <w:unhideWhenUsed/>
    <w:rsid w:val="001B4275"/>
    <w:pPr>
      <w:spacing w:after="100"/>
      <w:ind w:left="1190"/>
    </w:pPr>
  </w:style>
  <w:style w:type="paragraph" w:styleId="TOC9">
    <w:name w:val="toc 9"/>
    <w:basedOn w:val="a"/>
    <w:next w:val="a"/>
    <w:autoRedefine/>
    <w:semiHidden/>
    <w:unhideWhenUsed/>
    <w:rsid w:val="001B4275"/>
    <w:pPr>
      <w:spacing w:after="100"/>
      <w:ind w:left="1360"/>
    </w:pPr>
  </w:style>
  <w:style w:type="paragraph" w:customStyle="1" w:styleId="TableHead2">
    <w:name w:val="Table Head2"/>
    <w:basedOn w:val="TableHead"/>
    <w:qFormat/>
    <w:rsid w:val="001B4275"/>
    <w:pPr>
      <w:outlineLvl w:val="9"/>
    </w:pPr>
  </w:style>
  <w:style w:type="paragraph" w:customStyle="1" w:styleId="TableSideHeading2">
    <w:name w:val="Table SideHeading2"/>
    <w:basedOn w:val="TableSideHeading"/>
    <w:autoRedefine/>
    <w:qFormat/>
    <w:rsid w:val="001B4275"/>
    <w:pPr>
      <w:keepLines w:val="0"/>
      <w:outlineLvl w:val="9"/>
    </w:pPr>
  </w:style>
  <w:style w:type="paragraph" w:customStyle="1" w:styleId="0">
    <w:name w:val="סגנון שורה ראשונה:  0  ס''מ"/>
    <w:basedOn w:val="2"/>
    <w:rsid w:val="001B4275"/>
    <w:rPr>
      <w:rFonts w:eastAsia="Times New Roman"/>
    </w:rPr>
  </w:style>
  <w:style w:type="paragraph" w:styleId="af">
    <w:name w:val="List Paragraph"/>
    <w:basedOn w:val="a"/>
    <w:uiPriority w:val="34"/>
    <w:qFormat/>
    <w:rsid w:val="001B4275"/>
    <w:pPr>
      <w:widowControl/>
      <w:spacing w:line="259" w:lineRule="auto"/>
    </w:pPr>
    <w:rPr>
      <w:rFonts w:asciiTheme="minorHAnsi" w:hAnsiTheme="minorHAnsi"/>
      <w:sz w:val="22"/>
    </w:rPr>
  </w:style>
  <w:style w:type="table" w:styleId="af0">
    <w:name w:val="Table Grid"/>
    <w:basedOn w:val="a1"/>
    <w:rsid w:val="001B4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1B427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1B427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1">
    <w:name w:val="טבלת חקיקה"/>
    <w:basedOn w:val="a1"/>
    <w:uiPriority w:val="99"/>
    <w:rsid w:val="001B4275"/>
    <w:pPr>
      <w:jc w:val="center"/>
    </w:pPr>
    <w:rPr>
      <w:rFonts w:cstheme="minorBidi"/>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1B4275"/>
    <w:tblPr/>
    <w:tblStylePr w:type="firstCol">
      <w:pPr>
        <w:keepNext w:val="0"/>
        <w:keepLines/>
        <w:pageBreakBefore w:val="0"/>
        <w:widowControl w:val="0"/>
        <w:suppressLineNumbers w:val="0"/>
        <w:suppressAutoHyphens w:val="0"/>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662510">
      <w:bodyDiv w:val="1"/>
      <w:marLeft w:val="0"/>
      <w:marRight w:val="0"/>
      <w:marTop w:val="0"/>
      <w:marBottom w:val="0"/>
      <w:divBdr>
        <w:top w:val="none" w:sz="0" w:space="0" w:color="auto"/>
        <w:left w:val="none" w:sz="0" w:space="0" w:color="auto"/>
        <w:bottom w:val="none" w:sz="0" w:space="0" w:color="auto"/>
        <w:right w:val="none" w:sz="0" w:space="0" w:color="auto"/>
      </w:divBdr>
    </w:div>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3D6E9C754E1F7C4C891E9EE2E0AF8150" ma:contentTypeVersion="" ma:contentTypeDescription="צור מסמך חדש." ma:contentTypeScope="" ma:versionID="b2c52f23e7867aea476dda019525fa93">
  <xsd:schema xmlns:xsd="http://www.w3.org/2001/XMLSchema" xmlns:xs="http://www.w3.org/2001/XMLSchema" xmlns:p="http://schemas.microsoft.com/office/2006/metadata/properties" targetNamespace="http://schemas.microsoft.com/office/2006/metadata/properties" ma:root="true" ma:fieldsID="095a2728251a2ce93c0626b1f2c5b5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E1A45A65-07F7-41F9-84A3-931468532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1EADB2F-871C-41BA-BE22-E4C9D9CA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1172</Words>
  <Characters>5864</Characters>
  <Application>Microsoft Office Word</Application>
  <DocSecurity>0</DocSecurity>
  <Lines>48</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דפנה ברנאי</cp:lastModifiedBy>
  <cp:revision>23</cp:revision>
  <cp:lastPrinted>2020-03-24T07:26:00Z</cp:lastPrinted>
  <dcterms:created xsi:type="dcterms:W3CDTF">2015-04-20T09:58:00Z</dcterms:created>
  <dcterms:modified xsi:type="dcterms:W3CDTF">2020-04-18T17:27:00Z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0x0101003D6E9C754E1F7C4C891E9EE2E0AF8150</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2085810</vt:r8>
  </property>
</Properties>
</file>