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2065225</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24DDF739" w:rsidR="00E13C27" w:rsidRPr="00CF1AA2" w:rsidRDefault="008F6665" w:rsidP="007F0742">
      <w:pPr>
        <w:pStyle w:val="David"/>
        <w:spacing w:line="360" w:lineRule="auto"/>
        <w:ind w:left="3544"/>
        <w:rPr>
          <w:b/>
          <w:bCs/>
          <w:sz w:val="16"/>
          <w:szCs w:val="16"/>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proofErr w:type="spellStart"/>
      <w:r>
        <w:rPr>
          <w:rFonts w:hint="cs"/>
          <w:b/>
          <w:bCs/>
          <w:rtl/>
        </w:rPr>
        <w:t>מכלוף</w:t>
      </w:r>
      <w:proofErr w:type="spellEnd"/>
      <w:r>
        <w:rPr>
          <w:rFonts w:hint="cs"/>
          <w:b/>
          <w:bCs/>
          <w:rtl/>
        </w:rPr>
        <w:t xml:space="preserve"> מיקי זוהר</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פ/5188/20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2D897E2B" w:rsidR="00E13C27" w:rsidRPr="00F67051" w:rsidRDefault="00A443CF" w:rsidP="007F0742">
      <w:pPr>
        <w:pStyle w:val="HeadHatzaotHok"/>
        <w:rPr>
          <w:rtl/>
        </w:rPr>
      </w:pPr>
      <w:bookmarkStart w:id="7" w:name="LGS_Subject"/>
      <w:r>
        <w:rPr>
          <w:rFonts w:hint="cs"/>
          <w:rtl/>
        </w:rPr>
        <w:t xml:space="preserve">הצעת חוק השידור הציבורי הישראלי (תיקון </w:t>
      </w:r>
      <w:r w:rsidR="007F0742">
        <w:rPr>
          <w:rFonts w:hint="eastAsia"/>
          <w:rtl/>
        </w:rPr>
        <w:t>–</w:t>
      </w:r>
      <w:r>
        <w:rPr>
          <w:rFonts w:hint="cs"/>
          <w:rtl/>
        </w:rPr>
        <w:t xml:space="preserve"> תקציב התאגיד והקצאת תקציב ייעודי לשידורי ספורט מרכזיים לכלל הציבור), </w:t>
      </w:r>
      <w:proofErr w:type="spellStart"/>
      <w:r>
        <w:rPr>
          <w:rFonts w:hint="cs"/>
          <w:rtl/>
        </w:rPr>
        <w:t>התשע"ח</w:t>
      </w:r>
      <w:proofErr w:type="spellEnd"/>
      <w:r w:rsidR="007F0742">
        <w:rPr>
          <w:rFonts w:hint="eastAsia"/>
          <w:rtl/>
        </w:rPr>
        <w:t>–</w:t>
      </w:r>
      <w:r>
        <w:rPr>
          <w:rFonts w:hint="cs"/>
          <w:rtl/>
        </w:rPr>
        <w:t>2018</w:t>
      </w:r>
      <w:bookmarkEnd w:id="7"/>
    </w:p>
    <w:p w14:paraId="72298AD2" w14:textId="77777777" w:rsidR="00B46105" w:rsidRDefault="00B46105" w:rsidP="00B46105">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0"/>
      </w:tblGrid>
      <w:tr w:rsidR="00B46105" w14:paraId="0E0FAD4F" w14:textId="77777777" w:rsidTr="00B068FC">
        <w:trPr>
          <w:cantSplit/>
        </w:trPr>
        <w:tc>
          <w:tcPr>
            <w:tcW w:w="1870" w:type="dxa"/>
          </w:tcPr>
          <w:p w14:paraId="3EBF7E2B" w14:textId="1A4FD703" w:rsidR="00B46105" w:rsidRPr="00281817" w:rsidRDefault="00643369" w:rsidP="00BF1AA7">
            <w:pPr>
              <w:pStyle w:val="TableSideHeading"/>
              <w:ind w:right="0"/>
            </w:pPr>
            <w:r>
              <w:rPr>
                <w:rFonts w:hint="cs"/>
                <w:rtl/>
              </w:rPr>
              <w:t xml:space="preserve">תיקון </w:t>
            </w:r>
            <w:r w:rsidR="00B46105">
              <w:rPr>
                <w:rFonts w:hint="cs"/>
                <w:rtl/>
              </w:rPr>
              <w:t>סעיף 80</w:t>
            </w:r>
          </w:p>
        </w:tc>
        <w:tc>
          <w:tcPr>
            <w:tcW w:w="624" w:type="dxa"/>
          </w:tcPr>
          <w:p w14:paraId="53581668" w14:textId="77777777" w:rsidR="00B46105" w:rsidRPr="00D17863" w:rsidRDefault="00B46105" w:rsidP="00BF1AA7">
            <w:pPr>
              <w:pStyle w:val="TableText"/>
              <w:keepLines w:val="0"/>
            </w:pPr>
            <w:r>
              <w:rPr>
                <w:rFonts w:hint="cs"/>
                <w:rtl/>
              </w:rPr>
              <w:t>1.</w:t>
            </w:r>
          </w:p>
        </w:tc>
        <w:tc>
          <w:tcPr>
            <w:tcW w:w="7144" w:type="dxa"/>
            <w:gridSpan w:val="2"/>
          </w:tcPr>
          <w:p w14:paraId="75606500" w14:textId="456C295E" w:rsidR="00B46105" w:rsidRPr="00B068FC" w:rsidRDefault="00B46105" w:rsidP="00B068FC">
            <w:pPr>
              <w:pStyle w:val="TableBlock"/>
            </w:pPr>
            <w:r w:rsidRPr="00B068FC">
              <w:rPr>
                <w:rFonts w:hint="cs"/>
                <w:rtl/>
              </w:rPr>
              <w:t xml:space="preserve">בחוק השידור הציבורי הישראלי, </w:t>
            </w:r>
            <w:proofErr w:type="spellStart"/>
            <w:r w:rsidRPr="00B068FC">
              <w:rPr>
                <w:rFonts w:hint="cs"/>
                <w:rtl/>
              </w:rPr>
              <w:t>התשע"ד</w:t>
            </w:r>
            <w:proofErr w:type="spellEnd"/>
            <w:r w:rsidRPr="00B068FC">
              <w:rPr>
                <w:rFonts w:hint="eastAsia"/>
                <w:rtl/>
              </w:rPr>
              <w:t>–</w:t>
            </w:r>
            <w:r w:rsidRPr="00B068FC">
              <w:rPr>
                <w:rFonts w:hint="cs"/>
                <w:rtl/>
              </w:rPr>
              <w:t>2014</w:t>
            </w:r>
            <w:r w:rsidR="00B068FC" w:rsidRPr="00E17AEE">
              <w:rPr>
                <w:szCs w:val="20"/>
                <w:rtl/>
              </w:rPr>
              <w:footnoteReference w:id="2"/>
            </w:r>
            <w:r w:rsidR="00B068FC" w:rsidRPr="00B068FC">
              <w:rPr>
                <w:rFonts w:hint="cs"/>
                <w:rtl/>
              </w:rPr>
              <w:t xml:space="preserve"> </w:t>
            </w:r>
            <w:r w:rsidR="00643369" w:rsidRPr="00B068FC">
              <w:rPr>
                <w:rFonts w:hint="cs"/>
                <w:rtl/>
              </w:rPr>
              <w:t xml:space="preserve">(להלן </w:t>
            </w:r>
            <w:r w:rsidR="00643369" w:rsidRPr="00B068FC">
              <w:rPr>
                <w:rtl/>
              </w:rPr>
              <w:t>–</w:t>
            </w:r>
            <w:r w:rsidR="00643369" w:rsidRPr="00B068FC">
              <w:rPr>
                <w:rFonts w:hint="cs"/>
                <w:rtl/>
              </w:rPr>
              <w:t xml:space="preserve"> החוק העיקרי)</w:t>
            </w:r>
            <w:r w:rsidRPr="00B068FC">
              <w:rPr>
                <w:rFonts w:hint="cs"/>
                <w:rtl/>
              </w:rPr>
              <w:t xml:space="preserve">, </w:t>
            </w:r>
            <w:r w:rsidR="00643369" w:rsidRPr="00B068FC">
              <w:rPr>
                <w:rFonts w:hint="cs"/>
                <w:rtl/>
              </w:rPr>
              <w:t>ב</w:t>
            </w:r>
            <w:r w:rsidRPr="00B068FC">
              <w:rPr>
                <w:rFonts w:hint="cs"/>
                <w:rtl/>
              </w:rPr>
              <w:t>סעיף 80</w:t>
            </w:r>
            <w:r w:rsidR="00643369" w:rsidRPr="00B068FC">
              <w:rPr>
                <w:rFonts w:hint="cs"/>
                <w:rtl/>
              </w:rPr>
              <w:t xml:space="preserve"> </w:t>
            </w:r>
            <w:r w:rsidR="00643369" w:rsidRPr="00B068FC">
              <w:rPr>
                <w:rFonts w:hint="eastAsia"/>
                <w:rtl/>
              </w:rPr>
              <w:t>–</w:t>
            </w:r>
            <w:r w:rsidRPr="00B068FC">
              <w:rPr>
                <w:rFonts w:hint="cs"/>
                <w:rtl/>
              </w:rPr>
              <w:t xml:space="preserve"> </w:t>
            </w:r>
          </w:p>
        </w:tc>
      </w:tr>
      <w:tr w:rsidR="00643369" w14:paraId="1439D47D" w14:textId="77777777" w:rsidTr="00B068FC">
        <w:trPr>
          <w:cantSplit/>
        </w:trPr>
        <w:tc>
          <w:tcPr>
            <w:tcW w:w="1870" w:type="dxa"/>
          </w:tcPr>
          <w:p w14:paraId="50220345" w14:textId="77777777" w:rsidR="00643369" w:rsidDel="00643369" w:rsidRDefault="00643369" w:rsidP="00BF1AA7">
            <w:pPr>
              <w:pStyle w:val="TableSideHeading"/>
              <w:ind w:right="0"/>
              <w:rPr>
                <w:rtl/>
              </w:rPr>
            </w:pPr>
          </w:p>
        </w:tc>
        <w:tc>
          <w:tcPr>
            <w:tcW w:w="624" w:type="dxa"/>
          </w:tcPr>
          <w:p w14:paraId="43E44D13" w14:textId="77777777" w:rsidR="00643369" w:rsidRDefault="00643369" w:rsidP="003C6734">
            <w:pPr>
              <w:pStyle w:val="TableText"/>
              <w:rPr>
                <w:rtl/>
              </w:rPr>
            </w:pPr>
          </w:p>
        </w:tc>
        <w:tc>
          <w:tcPr>
            <w:tcW w:w="7144" w:type="dxa"/>
            <w:gridSpan w:val="2"/>
          </w:tcPr>
          <w:p w14:paraId="286DB808" w14:textId="451BE29E" w:rsidR="00643369" w:rsidRPr="00092729" w:rsidRDefault="00643369" w:rsidP="00643369">
            <w:pPr>
              <w:pStyle w:val="TableBlock"/>
              <w:rPr>
                <w:rtl/>
              </w:rPr>
            </w:pPr>
            <w:r>
              <w:rPr>
                <w:rFonts w:hint="cs"/>
                <w:rtl/>
              </w:rPr>
              <w:t>(1)</w:t>
            </w:r>
            <w:r>
              <w:rPr>
                <w:rtl/>
              </w:rPr>
              <w:tab/>
            </w:r>
            <w:r>
              <w:rPr>
                <w:rFonts w:hint="cs"/>
                <w:rtl/>
              </w:rPr>
              <w:t xml:space="preserve">בהגדרה "הסכום הכולל", פסקה (3) </w:t>
            </w:r>
            <w:r>
              <w:rPr>
                <w:rtl/>
              </w:rPr>
              <w:t>–</w:t>
            </w:r>
            <w:r>
              <w:rPr>
                <w:rFonts w:hint="cs"/>
                <w:rtl/>
              </w:rPr>
              <w:t xml:space="preserve"> תימחק;</w:t>
            </w:r>
          </w:p>
        </w:tc>
      </w:tr>
      <w:tr w:rsidR="00643369" w14:paraId="799538B7" w14:textId="77777777" w:rsidTr="00B068FC">
        <w:trPr>
          <w:cantSplit/>
        </w:trPr>
        <w:tc>
          <w:tcPr>
            <w:tcW w:w="1870" w:type="dxa"/>
          </w:tcPr>
          <w:p w14:paraId="6A3405CA" w14:textId="77777777" w:rsidR="00643369" w:rsidDel="00643369" w:rsidRDefault="00643369" w:rsidP="00BF1AA7">
            <w:pPr>
              <w:pStyle w:val="TableSideHeading"/>
              <w:ind w:right="0"/>
              <w:rPr>
                <w:rtl/>
              </w:rPr>
            </w:pPr>
          </w:p>
        </w:tc>
        <w:tc>
          <w:tcPr>
            <w:tcW w:w="624" w:type="dxa"/>
          </w:tcPr>
          <w:p w14:paraId="68CF0B92" w14:textId="77777777" w:rsidR="00643369" w:rsidRDefault="00643369" w:rsidP="00643369">
            <w:pPr>
              <w:pStyle w:val="TableText"/>
              <w:rPr>
                <w:rtl/>
              </w:rPr>
            </w:pPr>
          </w:p>
        </w:tc>
        <w:tc>
          <w:tcPr>
            <w:tcW w:w="7144" w:type="dxa"/>
            <w:gridSpan w:val="2"/>
          </w:tcPr>
          <w:p w14:paraId="69FBBD2C" w14:textId="02AF0904" w:rsidR="00643369" w:rsidRDefault="00643369" w:rsidP="00B068FC">
            <w:pPr>
              <w:pStyle w:val="TableBlock"/>
              <w:rPr>
                <w:rtl/>
              </w:rPr>
            </w:pPr>
            <w:r>
              <w:rPr>
                <w:rFonts w:hint="cs"/>
                <w:rtl/>
              </w:rPr>
              <w:t>(2)</w:t>
            </w:r>
            <w:r>
              <w:rPr>
                <w:rtl/>
              </w:rPr>
              <w:tab/>
            </w:r>
            <w:r>
              <w:rPr>
                <w:rFonts w:hint="cs"/>
                <w:rtl/>
              </w:rPr>
              <w:t xml:space="preserve">סעיף קטן (ה) </w:t>
            </w:r>
            <w:r>
              <w:rPr>
                <w:rtl/>
              </w:rPr>
              <w:t>–</w:t>
            </w:r>
            <w:r>
              <w:rPr>
                <w:rFonts w:hint="cs"/>
                <w:rtl/>
              </w:rPr>
              <w:t xml:space="preserve"> </w:t>
            </w:r>
            <w:r w:rsidR="00B068FC">
              <w:rPr>
                <w:rFonts w:hint="cs"/>
                <w:rtl/>
              </w:rPr>
              <w:t>בטל</w:t>
            </w:r>
            <w:r>
              <w:rPr>
                <w:rFonts w:hint="cs"/>
                <w:rtl/>
              </w:rPr>
              <w:t>;</w:t>
            </w:r>
          </w:p>
        </w:tc>
      </w:tr>
      <w:tr w:rsidR="00643369" w14:paraId="11BF5AD3" w14:textId="77777777" w:rsidTr="00B068FC">
        <w:trPr>
          <w:cantSplit/>
        </w:trPr>
        <w:tc>
          <w:tcPr>
            <w:tcW w:w="1870" w:type="dxa"/>
          </w:tcPr>
          <w:p w14:paraId="355AD2CC" w14:textId="77777777" w:rsidR="00643369" w:rsidDel="00643369" w:rsidRDefault="00643369" w:rsidP="00BF1AA7">
            <w:pPr>
              <w:pStyle w:val="TableSideHeading"/>
              <w:ind w:right="0"/>
              <w:rPr>
                <w:rtl/>
              </w:rPr>
            </w:pPr>
          </w:p>
        </w:tc>
        <w:tc>
          <w:tcPr>
            <w:tcW w:w="624" w:type="dxa"/>
          </w:tcPr>
          <w:p w14:paraId="7855BA07" w14:textId="77777777" w:rsidR="00643369" w:rsidRDefault="00643369" w:rsidP="00643369">
            <w:pPr>
              <w:pStyle w:val="TableText"/>
              <w:rPr>
                <w:rtl/>
              </w:rPr>
            </w:pPr>
          </w:p>
        </w:tc>
        <w:tc>
          <w:tcPr>
            <w:tcW w:w="7144" w:type="dxa"/>
            <w:gridSpan w:val="2"/>
          </w:tcPr>
          <w:p w14:paraId="0BCEA5E8" w14:textId="07A496BE" w:rsidR="00643369" w:rsidRDefault="00643369" w:rsidP="00643369">
            <w:pPr>
              <w:pStyle w:val="TableBlock"/>
              <w:rPr>
                <w:rtl/>
              </w:rPr>
            </w:pPr>
            <w:r>
              <w:rPr>
                <w:rFonts w:hint="cs"/>
                <w:rtl/>
              </w:rPr>
              <w:t>(3)</w:t>
            </w:r>
            <w:r>
              <w:rPr>
                <w:rtl/>
              </w:rPr>
              <w:tab/>
            </w:r>
            <w:r>
              <w:rPr>
                <w:rFonts w:hint="cs"/>
                <w:rtl/>
              </w:rPr>
              <w:t>בסופו יבוא:</w:t>
            </w:r>
          </w:p>
        </w:tc>
      </w:tr>
      <w:tr w:rsidR="00B068FC" w14:paraId="5E9FE7AD" w14:textId="77777777" w:rsidTr="00B068FC">
        <w:trPr>
          <w:cantSplit/>
          <w:trHeight w:val="60"/>
        </w:trPr>
        <w:tc>
          <w:tcPr>
            <w:tcW w:w="1870" w:type="dxa"/>
          </w:tcPr>
          <w:p w14:paraId="0FF99202" w14:textId="77777777" w:rsidR="00B068FC" w:rsidRDefault="00B068FC">
            <w:pPr>
              <w:pStyle w:val="TableSideHeading"/>
            </w:pPr>
          </w:p>
        </w:tc>
        <w:tc>
          <w:tcPr>
            <w:tcW w:w="624" w:type="dxa"/>
          </w:tcPr>
          <w:p w14:paraId="74630901" w14:textId="77777777" w:rsidR="00B068FC" w:rsidRDefault="00B068FC">
            <w:pPr>
              <w:pStyle w:val="TableText"/>
            </w:pPr>
          </w:p>
        </w:tc>
        <w:tc>
          <w:tcPr>
            <w:tcW w:w="624" w:type="dxa"/>
          </w:tcPr>
          <w:p w14:paraId="165D57A3" w14:textId="77777777" w:rsidR="00B068FC" w:rsidRDefault="00B068FC">
            <w:pPr>
              <w:pStyle w:val="TableText"/>
            </w:pPr>
          </w:p>
        </w:tc>
        <w:tc>
          <w:tcPr>
            <w:tcW w:w="6520" w:type="dxa"/>
          </w:tcPr>
          <w:p w14:paraId="15F7CDD3" w14:textId="11AA3FA6" w:rsidR="00B068FC" w:rsidRDefault="00B068FC">
            <w:pPr>
              <w:pStyle w:val="TableBlock"/>
            </w:pPr>
            <w:r>
              <w:rPr>
                <w:rFonts w:hint="cs"/>
                <w:rtl/>
              </w:rPr>
              <w:t>"(ו)</w:t>
            </w:r>
            <w:r>
              <w:rPr>
                <w:rtl/>
              </w:rPr>
              <w:tab/>
            </w:r>
            <w:r>
              <w:rPr>
                <w:rFonts w:hint="cs"/>
                <w:rtl/>
              </w:rPr>
              <w:t xml:space="preserve">הוראות סעיפים קטנים (א) עד (ה) יחולו עד תום שנת 2018, ומשנת 2019 ואילך </w:t>
            </w:r>
            <w:r w:rsidRPr="00B73952">
              <w:rPr>
                <w:rFonts w:hint="cs"/>
                <w:rtl/>
              </w:rPr>
              <w:t xml:space="preserve">יורכב תקציב התאגיד מהכנסותיו לפי חוק זה, מהסכום הנוסף ומתקציב שייקבע לתאגיד </w:t>
            </w:r>
            <w:r>
              <w:rPr>
                <w:rFonts w:hint="cs"/>
                <w:rtl/>
              </w:rPr>
              <w:t xml:space="preserve">השידור הישראלי בסעיף תקציב נפרד בחוק התקציב השנתי; בסעיף זה, "חוק תקציב שנתי" ו-"סעיף תקציב" </w:t>
            </w:r>
            <w:r>
              <w:rPr>
                <w:rtl/>
              </w:rPr>
              <w:t>–</w:t>
            </w:r>
            <w:r>
              <w:rPr>
                <w:rFonts w:hint="cs"/>
                <w:rtl/>
              </w:rPr>
              <w:t xml:space="preserve"> כהגדרתם בחוק יסודות התקציב, </w:t>
            </w:r>
            <w:proofErr w:type="spellStart"/>
            <w:r>
              <w:rPr>
                <w:rFonts w:hint="cs"/>
                <w:rtl/>
              </w:rPr>
              <w:t>התשמ"ה</w:t>
            </w:r>
            <w:proofErr w:type="spellEnd"/>
            <w:r>
              <w:rPr>
                <w:rFonts w:hint="eastAsia"/>
                <w:rtl/>
              </w:rPr>
              <w:t>–</w:t>
            </w:r>
            <w:r>
              <w:rPr>
                <w:rFonts w:hint="cs"/>
                <w:rtl/>
              </w:rPr>
              <w:t>1985</w:t>
            </w:r>
            <w:r>
              <w:rPr>
                <w:rStyle w:val="a5"/>
                <w:rtl/>
              </w:rPr>
              <w:footnoteReference w:id="3"/>
            </w:r>
            <w:r w:rsidR="007F0742">
              <w:rPr>
                <w:rFonts w:hint="cs"/>
                <w:rtl/>
              </w:rPr>
              <w:t>."</w:t>
            </w:r>
          </w:p>
        </w:tc>
      </w:tr>
      <w:tr w:rsidR="00B46105" w14:paraId="5F387261" w14:textId="77777777" w:rsidTr="00B068FC">
        <w:trPr>
          <w:cantSplit/>
        </w:trPr>
        <w:tc>
          <w:tcPr>
            <w:tcW w:w="1870" w:type="dxa"/>
          </w:tcPr>
          <w:p w14:paraId="0A78705E" w14:textId="4D348D53" w:rsidR="00B46105" w:rsidRDefault="00643369" w:rsidP="00BF1AA7">
            <w:pPr>
              <w:pStyle w:val="TableSideHeading"/>
              <w:ind w:right="0"/>
              <w:rPr>
                <w:rtl/>
              </w:rPr>
            </w:pPr>
            <w:r>
              <w:rPr>
                <w:rFonts w:hint="cs"/>
                <w:rtl/>
              </w:rPr>
              <w:t>תיקון התוספת השנייה</w:t>
            </w:r>
          </w:p>
        </w:tc>
        <w:tc>
          <w:tcPr>
            <w:tcW w:w="624" w:type="dxa"/>
          </w:tcPr>
          <w:p w14:paraId="497B7042" w14:textId="77777777" w:rsidR="00B46105" w:rsidRDefault="00B46105" w:rsidP="00BF1AA7">
            <w:pPr>
              <w:pStyle w:val="TableText"/>
              <w:keepLines w:val="0"/>
              <w:rPr>
                <w:rtl/>
              </w:rPr>
            </w:pPr>
            <w:r>
              <w:rPr>
                <w:rFonts w:hint="cs"/>
                <w:rtl/>
              </w:rPr>
              <w:t>2.</w:t>
            </w:r>
          </w:p>
        </w:tc>
        <w:tc>
          <w:tcPr>
            <w:tcW w:w="7144" w:type="dxa"/>
            <w:gridSpan w:val="2"/>
          </w:tcPr>
          <w:p w14:paraId="3690772B" w14:textId="0B36862D" w:rsidR="00B46105" w:rsidRPr="00092729" w:rsidRDefault="00643369" w:rsidP="00BF1AA7">
            <w:pPr>
              <w:pStyle w:val="TableBlock"/>
              <w:rPr>
                <w:rtl/>
              </w:rPr>
            </w:pPr>
            <w:r>
              <w:rPr>
                <w:rFonts w:hint="cs"/>
                <w:rtl/>
              </w:rPr>
              <w:t>בתוספת השנייה לחוק העיקרי, בסעיף 2, במקום "200 מיליון שקלים חדשים" יבוא "240 מיליון שקלים חדשים</w:t>
            </w:r>
            <w:r w:rsidR="00BF4AD6">
              <w:rPr>
                <w:rFonts w:hint="cs"/>
                <w:rtl/>
              </w:rPr>
              <w:t>",</w:t>
            </w:r>
            <w:r>
              <w:rPr>
                <w:rFonts w:hint="cs"/>
                <w:rtl/>
              </w:rPr>
              <w:t xml:space="preserve"> ובמקום </w:t>
            </w:r>
            <w:proofErr w:type="spellStart"/>
            <w:r>
              <w:rPr>
                <w:rFonts w:hint="cs"/>
                <w:rtl/>
              </w:rPr>
              <w:t>הסיפה</w:t>
            </w:r>
            <w:proofErr w:type="spellEnd"/>
            <w:r>
              <w:rPr>
                <w:rFonts w:hint="cs"/>
                <w:rtl/>
              </w:rPr>
              <w:t xml:space="preserve"> החל במילים "כמפורט להלן" יבוא "להפקות מקומיות קנויות, לתכניות ספורט, לתכניות סוגה עילית, לתכניות דרמה ותעודה ולסרטי קולנוע ישראלי, ובלבד שמתוך סכום ההוצאה השנתית יוקצו 25 אחוזים לפחות לשידורי המשחקים המרכזיים בכדורגל ובכדורסל לרבות כל משחקי נבחרות ישראל בכדורגל ו</w:t>
            </w:r>
            <w:r w:rsidR="00BF4AD6">
              <w:rPr>
                <w:rFonts w:hint="cs"/>
                <w:rtl/>
              </w:rPr>
              <w:t>ב</w:t>
            </w:r>
            <w:r>
              <w:rPr>
                <w:rFonts w:hint="cs"/>
                <w:rtl/>
              </w:rPr>
              <w:t>כדורסל.".</w:t>
            </w:r>
          </w:p>
        </w:tc>
      </w:tr>
      <w:tr w:rsidR="00B46105" w14:paraId="16952454" w14:textId="77777777" w:rsidTr="00B068FC">
        <w:trPr>
          <w:cantSplit/>
        </w:trPr>
        <w:tc>
          <w:tcPr>
            <w:tcW w:w="1870" w:type="dxa"/>
          </w:tcPr>
          <w:p w14:paraId="1388D134" w14:textId="45C63135" w:rsidR="00B46105" w:rsidRDefault="00643369" w:rsidP="00BF1AA7">
            <w:pPr>
              <w:pStyle w:val="TableSideHeading"/>
              <w:ind w:right="0"/>
              <w:rPr>
                <w:rtl/>
              </w:rPr>
            </w:pPr>
            <w:r>
              <w:rPr>
                <w:rFonts w:hint="cs"/>
                <w:rtl/>
              </w:rPr>
              <w:t>תחולה</w:t>
            </w:r>
          </w:p>
        </w:tc>
        <w:tc>
          <w:tcPr>
            <w:tcW w:w="624" w:type="dxa"/>
          </w:tcPr>
          <w:p w14:paraId="02CE62D4" w14:textId="77777777" w:rsidR="00B46105" w:rsidRDefault="00B46105" w:rsidP="00BF1AA7">
            <w:pPr>
              <w:pStyle w:val="TableText"/>
              <w:keepLines w:val="0"/>
              <w:rPr>
                <w:rtl/>
              </w:rPr>
            </w:pPr>
            <w:r>
              <w:rPr>
                <w:rFonts w:hint="cs"/>
                <w:rtl/>
              </w:rPr>
              <w:t>3.</w:t>
            </w:r>
          </w:p>
        </w:tc>
        <w:tc>
          <w:tcPr>
            <w:tcW w:w="7144" w:type="dxa"/>
            <w:gridSpan w:val="2"/>
          </w:tcPr>
          <w:p w14:paraId="44F21825" w14:textId="71BD5C9D" w:rsidR="00B46105" w:rsidRPr="00092729" w:rsidRDefault="00643369" w:rsidP="00B73952">
            <w:pPr>
              <w:pStyle w:val="TableBlock"/>
              <w:rPr>
                <w:rtl/>
              </w:rPr>
            </w:pPr>
            <w:r>
              <w:rPr>
                <w:rFonts w:hint="cs"/>
                <w:rtl/>
              </w:rPr>
              <w:t>הוראות חוק זה יחולו לעניין שנת 2019 ואילך.</w:t>
            </w:r>
          </w:p>
        </w:tc>
      </w:tr>
    </w:tbl>
    <w:p w14:paraId="4B5877D4" w14:textId="60B83058" w:rsidR="007F0742" w:rsidRDefault="007F0742" w:rsidP="002D1EE3">
      <w:pPr>
        <w:pStyle w:val="HeadDivreiHesber"/>
        <w:rPr>
          <w:rtl/>
        </w:rPr>
      </w:pPr>
      <w:r>
        <w:rPr>
          <w:rtl/>
        </w:rPr>
        <w:br w:type="page"/>
      </w:r>
    </w:p>
    <w:p w14:paraId="7F6961CA" w14:textId="77777777" w:rsidR="002D1EE3" w:rsidRDefault="002D1EE3" w:rsidP="002D1EE3">
      <w:pPr>
        <w:pStyle w:val="HeadDivreiHesber"/>
        <w:rPr>
          <w:rtl/>
        </w:rPr>
      </w:pPr>
      <w:r w:rsidRPr="0027450A">
        <w:rPr>
          <w:rFonts w:hint="cs"/>
          <w:rtl/>
        </w:rPr>
        <w:lastRenderedPageBreak/>
        <w:t>דברי הסבר</w:t>
      </w:r>
    </w:p>
    <w:p w14:paraId="20198316" w14:textId="5BB518BC" w:rsidR="00B46105" w:rsidRPr="00CD2644" w:rsidRDefault="00B46105" w:rsidP="007F0742">
      <w:pPr>
        <w:pStyle w:val="Hesber"/>
        <w:rPr>
          <w:rtl/>
        </w:rPr>
      </w:pPr>
      <w:r w:rsidRPr="00CD2644">
        <w:rPr>
          <w:rFonts w:hint="eastAsia"/>
          <w:rtl/>
        </w:rPr>
        <w:t>תקציבם</w:t>
      </w:r>
      <w:r w:rsidRPr="00CD2644">
        <w:rPr>
          <w:rtl/>
        </w:rPr>
        <w:t xml:space="preserve"> של מרבית הגופים הממשלתיים, לרבות משרדי הממשלה, נקבע במסגרת הדיונים על תקציב המדינה ומשתנה משנה לשנה. היכולת לקביעת תקציב דינמי </w:t>
      </w:r>
      <w:r w:rsidR="007F0742">
        <w:rPr>
          <w:rFonts w:hint="cs"/>
          <w:rtl/>
        </w:rPr>
        <w:t>היא</w:t>
      </w:r>
      <w:r w:rsidRPr="00CD2644">
        <w:rPr>
          <w:rtl/>
        </w:rPr>
        <w:t xml:space="preserve"> הכרחית נוכח השינויים הכלכליים, מצב קופת המדינה </w:t>
      </w:r>
      <w:proofErr w:type="spellStart"/>
      <w:r w:rsidRPr="00CD2644">
        <w:rPr>
          <w:rFonts w:hint="eastAsia"/>
          <w:rtl/>
        </w:rPr>
        <w:t>והתיעדוף</w:t>
      </w:r>
      <w:proofErr w:type="spellEnd"/>
      <w:r w:rsidRPr="00CD2644">
        <w:rPr>
          <w:rtl/>
        </w:rPr>
        <w:t xml:space="preserve"> שמבצעת הממשלה בחלוקת התקציבים בכל שנת תקציב.</w:t>
      </w:r>
    </w:p>
    <w:p w14:paraId="219E0DA8" w14:textId="14CB63B7" w:rsidR="00B46105" w:rsidRDefault="003C6734" w:rsidP="00C93F48">
      <w:pPr>
        <w:pStyle w:val="Hesber"/>
        <w:rPr>
          <w:rtl/>
        </w:rPr>
      </w:pPr>
      <w:r w:rsidRPr="003C6734">
        <w:rPr>
          <w:rtl/>
        </w:rPr>
        <w:t>לפיכך, מוצע כי תקציב תאגיד השידור הציבורי יהיה מורכב מהכנסותיו לפי החוק, מהסכום הנוסף שהוא הסכום הנגבה לפי פקודת התעבורה על ידי משרד התחבורה והבטיחות בדרכים כתוספת לאגרת רישוי לרכב, ומסכום שייקבע במסגרת דיוני התקציב, כך שניתן יהיה לעדכנו בכל שנת תקציב.</w:t>
      </w:r>
      <w:r w:rsidR="00C93F48">
        <w:rPr>
          <w:rFonts w:hint="cs"/>
          <w:rtl/>
        </w:rPr>
        <w:t xml:space="preserve"> </w:t>
      </w:r>
      <w:r w:rsidR="00B46105" w:rsidRPr="00CD2644">
        <w:rPr>
          <w:rFonts w:hint="eastAsia"/>
          <w:rtl/>
        </w:rPr>
        <w:t>באשר</w:t>
      </w:r>
      <w:r w:rsidR="00B46105" w:rsidRPr="00CD2644">
        <w:rPr>
          <w:rtl/>
        </w:rPr>
        <w:t xml:space="preserve"> </w:t>
      </w:r>
      <w:r w:rsidR="00B46105" w:rsidRPr="00CD2644">
        <w:rPr>
          <w:rFonts w:hint="eastAsia"/>
          <w:rtl/>
        </w:rPr>
        <w:t>לשידורי</w:t>
      </w:r>
      <w:r w:rsidR="00B46105" w:rsidRPr="00CD2644">
        <w:rPr>
          <w:rtl/>
        </w:rPr>
        <w:t xml:space="preserve"> </w:t>
      </w:r>
      <w:r w:rsidR="00B46105" w:rsidRPr="00CD2644">
        <w:rPr>
          <w:rFonts w:hint="eastAsia"/>
          <w:rtl/>
        </w:rPr>
        <w:t>הספורט</w:t>
      </w:r>
      <w:r w:rsidR="00B46105" w:rsidRPr="00CD2644">
        <w:rPr>
          <w:rtl/>
        </w:rPr>
        <w:t xml:space="preserve">, </w:t>
      </w:r>
      <w:r w:rsidR="00B46105" w:rsidRPr="00CD2644">
        <w:rPr>
          <w:rFonts w:hint="eastAsia"/>
          <w:rtl/>
        </w:rPr>
        <w:t>מוצע</w:t>
      </w:r>
      <w:r w:rsidR="00B46105" w:rsidRPr="00CD2644">
        <w:rPr>
          <w:rtl/>
        </w:rPr>
        <w:t xml:space="preserve"> </w:t>
      </w:r>
      <w:r w:rsidR="00B46105" w:rsidRPr="00CD2644">
        <w:rPr>
          <w:rFonts w:hint="eastAsia"/>
          <w:rtl/>
        </w:rPr>
        <w:t>בזאת</w:t>
      </w:r>
      <w:r w:rsidR="00B46105" w:rsidRPr="00CD2644">
        <w:rPr>
          <w:rtl/>
        </w:rPr>
        <w:t xml:space="preserve"> </w:t>
      </w:r>
      <w:r w:rsidR="00B46105" w:rsidRPr="00CD2644">
        <w:rPr>
          <w:rFonts w:hint="eastAsia"/>
          <w:rtl/>
        </w:rPr>
        <w:t>להקצות</w:t>
      </w:r>
      <w:r w:rsidR="00B46105" w:rsidRPr="00CD2644">
        <w:rPr>
          <w:rtl/>
        </w:rPr>
        <w:t xml:space="preserve"> </w:t>
      </w:r>
      <w:r w:rsidR="00B46105" w:rsidRPr="00CD2644">
        <w:rPr>
          <w:rFonts w:hint="eastAsia"/>
          <w:rtl/>
        </w:rPr>
        <w:t>לפחות</w:t>
      </w:r>
      <w:r w:rsidR="00B46105" w:rsidRPr="00CD2644">
        <w:rPr>
          <w:rtl/>
        </w:rPr>
        <w:t xml:space="preserve"> </w:t>
      </w:r>
      <w:r w:rsidR="00B46105" w:rsidRPr="00CD2644">
        <w:rPr>
          <w:rFonts w:hint="eastAsia"/>
          <w:rtl/>
        </w:rPr>
        <w:t>רבע</w:t>
      </w:r>
      <w:r w:rsidR="00B46105" w:rsidRPr="00CD2644">
        <w:rPr>
          <w:rtl/>
        </w:rPr>
        <w:t xml:space="preserve"> </w:t>
      </w:r>
      <w:r w:rsidR="00B46105" w:rsidRPr="00CD2644">
        <w:rPr>
          <w:rFonts w:hint="eastAsia"/>
          <w:rtl/>
        </w:rPr>
        <w:t>מהתקציב</w:t>
      </w:r>
      <w:r w:rsidR="00B46105" w:rsidRPr="00CD2644">
        <w:rPr>
          <w:rtl/>
        </w:rPr>
        <w:t xml:space="preserve"> </w:t>
      </w:r>
      <w:r w:rsidR="00B46105" w:rsidRPr="00CD2644">
        <w:rPr>
          <w:rFonts w:hint="eastAsia"/>
          <w:rtl/>
        </w:rPr>
        <w:t>לרכישת</w:t>
      </w:r>
      <w:r w:rsidR="00B46105" w:rsidRPr="00CD2644">
        <w:rPr>
          <w:rtl/>
        </w:rPr>
        <w:t xml:space="preserve"> </w:t>
      </w:r>
      <w:r w:rsidR="00B46105" w:rsidRPr="00CD2644">
        <w:rPr>
          <w:rFonts w:hint="eastAsia"/>
          <w:rtl/>
        </w:rPr>
        <w:t>שידורים</w:t>
      </w:r>
      <w:r w:rsidR="00B46105" w:rsidRPr="00CD2644">
        <w:rPr>
          <w:rtl/>
        </w:rPr>
        <w:t xml:space="preserve"> </w:t>
      </w:r>
      <w:r w:rsidR="00B46105" w:rsidRPr="00CD2644">
        <w:rPr>
          <w:rFonts w:hint="eastAsia"/>
          <w:rtl/>
        </w:rPr>
        <w:t>בערוץ</w:t>
      </w:r>
      <w:r w:rsidR="00B46105" w:rsidRPr="00CD2644">
        <w:rPr>
          <w:rtl/>
        </w:rPr>
        <w:t xml:space="preserve"> </w:t>
      </w:r>
      <w:r w:rsidR="00B46105" w:rsidRPr="00CD2644">
        <w:rPr>
          <w:rFonts w:hint="eastAsia"/>
          <w:rtl/>
        </w:rPr>
        <w:t>המרכזי</w:t>
      </w:r>
      <w:r w:rsidR="00B46105" w:rsidRPr="00CD2644">
        <w:rPr>
          <w:rtl/>
        </w:rPr>
        <w:t xml:space="preserve"> </w:t>
      </w:r>
      <w:r w:rsidR="00B46105" w:rsidRPr="00CD2644">
        <w:rPr>
          <w:rFonts w:hint="eastAsia"/>
          <w:rtl/>
        </w:rPr>
        <w:t>לטובת</w:t>
      </w:r>
      <w:r w:rsidR="00B46105" w:rsidRPr="00CD2644">
        <w:rPr>
          <w:rtl/>
        </w:rPr>
        <w:t xml:space="preserve"> </w:t>
      </w:r>
      <w:r w:rsidR="00B46105" w:rsidRPr="00CD2644">
        <w:rPr>
          <w:rFonts w:hint="eastAsia"/>
          <w:rtl/>
        </w:rPr>
        <w:t>שידור</w:t>
      </w:r>
      <w:r w:rsidR="00B46105" w:rsidRPr="00CD2644">
        <w:rPr>
          <w:rtl/>
        </w:rPr>
        <w:t xml:space="preserve"> </w:t>
      </w:r>
      <w:r w:rsidR="00B46105" w:rsidRPr="00CD2644">
        <w:rPr>
          <w:rFonts w:hint="eastAsia"/>
          <w:rtl/>
        </w:rPr>
        <w:t>המשחקים</w:t>
      </w:r>
      <w:r w:rsidR="00B46105" w:rsidRPr="00CD2644">
        <w:rPr>
          <w:rtl/>
        </w:rPr>
        <w:t xml:space="preserve"> </w:t>
      </w:r>
      <w:r w:rsidR="00B46105" w:rsidRPr="00CD2644">
        <w:rPr>
          <w:rFonts w:hint="eastAsia"/>
          <w:rtl/>
        </w:rPr>
        <w:t>המרכזיים</w:t>
      </w:r>
      <w:r w:rsidR="00CD2644">
        <w:rPr>
          <w:rFonts w:hint="cs"/>
          <w:rtl/>
        </w:rPr>
        <w:t xml:space="preserve"> בכדורגל ובכדורסל </w:t>
      </w:r>
      <w:r w:rsidR="00B46105" w:rsidRPr="00CD2644">
        <w:rPr>
          <w:rFonts w:hint="eastAsia"/>
          <w:rtl/>
        </w:rPr>
        <w:t>ומשחקי</w:t>
      </w:r>
      <w:r w:rsidR="00B46105" w:rsidRPr="00CD2644">
        <w:rPr>
          <w:rtl/>
        </w:rPr>
        <w:t xml:space="preserve"> נבחרת ישראל </w:t>
      </w:r>
      <w:r w:rsidR="00CD2644">
        <w:rPr>
          <w:rFonts w:hint="cs"/>
          <w:rtl/>
        </w:rPr>
        <w:t>באותם תחומי ספורט</w:t>
      </w:r>
      <w:r w:rsidR="00B46105" w:rsidRPr="00CD2644">
        <w:rPr>
          <w:rtl/>
        </w:rPr>
        <w:t xml:space="preserve"> על מנת </w:t>
      </w:r>
      <w:proofErr w:type="spellStart"/>
      <w:r w:rsidR="00B46105" w:rsidRPr="00CD2644">
        <w:rPr>
          <w:rFonts w:hint="eastAsia"/>
          <w:rtl/>
        </w:rPr>
        <w:t>להנגיש</w:t>
      </w:r>
      <w:proofErr w:type="spellEnd"/>
      <w:r w:rsidR="00B46105" w:rsidRPr="00CD2644">
        <w:rPr>
          <w:rtl/>
        </w:rPr>
        <w:t xml:space="preserve"> את שידורי הספורט המרכזיים לציבור הרחב ללא תשלום.</w:t>
      </w:r>
    </w:p>
    <w:p w14:paraId="26EF9C77" w14:textId="77777777" w:rsidR="009E756A" w:rsidRDefault="009E756A" w:rsidP="00C93F48">
      <w:pPr>
        <w:pStyle w:val="Hesber"/>
        <w:rPr>
          <w:rtl/>
        </w:rPr>
      </w:pPr>
    </w:p>
    <w:p w14:paraId="40E546C4" w14:textId="77777777" w:rsidR="009E756A" w:rsidRDefault="009E756A" w:rsidP="00C93F48">
      <w:pPr>
        <w:pStyle w:val="Hesber"/>
        <w:rPr>
          <w:rtl/>
        </w:rPr>
      </w:pPr>
      <w:bookmarkStart w:id="8" w:name="_GoBack"/>
      <w:bookmarkEnd w:id="8"/>
    </w:p>
    <w:p w14:paraId="62A4AC5D" w14:textId="77777777" w:rsidR="009E756A" w:rsidRDefault="009E756A" w:rsidP="009E756A">
      <w:pPr>
        <w:pStyle w:val="Hesber"/>
        <w:rPr>
          <w:color w:val="auto"/>
          <w:lang w:eastAsia="en-US"/>
        </w:rPr>
      </w:pPr>
      <w:r>
        <w:rPr>
          <w:rFonts w:hint="cs"/>
          <w:color w:val="auto"/>
          <w:rtl/>
          <w:lang w:eastAsia="en-US"/>
        </w:rPr>
        <w:t>---------------------------------</w:t>
      </w:r>
    </w:p>
    <w:p w14:paraId="62755701" w14:textId="77777777" w:rsidR="009E756A" w:rsidRDefault="009E756A" w:rsidP="009E756A">
      <w:pPr>
        <w:pStyle w:val="Hesber"/>
        <w:rPr>
          <w:color w:val="auto"/>
          <w:rtl/>
          <w:lang w:eastAsia="en-US"/>
        </w:rPr>
      </w:pPr>
      <w:r>
        <w:rPr>
          <w:rFonts w:hint="cs"/>
          <w:color w:val="auto"/>
          <w:rtl/>
          <w:lang w:eastAsia="en-US"/>
        </w:rPr>
        <w:t>הוגשה ליו"ר הכנסת והסגנים</w:t>
      </w:r>
    </w:p>
    <w:p w14:paraId="4A97BECB" w14:textId="77777777" w:rsidR="009E756A" w:rsidRDefault="009E756A" w:rsidP="009E756A">
      <w:pPr>
        <w:pStyle w:val="Hesber"/>
        <w:rPr>
          <w:color w:val="auto"/>
          <w:rtl/>
          <w:lang w:eastAsia="en-US"/>
        </w:rPr>
      </w:pPr>
      <w:r>
        <w:rPr>
          <w:rFonts w:hint="cs"/>
          <w:color w:val="auto"/>
          <w:rtl/>
          <w:lang w:eastAsia="en-US"/>
        </w:rPr>
        <w:t>והונחה על שולחן הכנסת ביום</w:t>
      </w:r>
    </w:p>
    <w:p w14:paraId="3A7F4E22" w14:textId="77777777" w:rsidR="009E756A" w:rsidRDefault="009E756A" w:rsidP="009E756A">
      <w:pPr>
        <w:pStyle w:val="Hesber"/>
        <w:rPr>
          <w:rtl/>
        </w:rPr>
      </w:pPr>
      <w:r>
        <w:rPr>
          <w:color w:val="auto"/>
          <w:rtl/>
          <w:lang w:eastAsia="en-US"/>
        </w:rPr>
        <w:t xml:space="preserve">י"א באדר </w:t>
      </w:r>
      <w:proofErr w:type="spellStart"/>
      <w:r>
        <w:rPr>
          <w:color w:val="auto"/>
          <w:rtl/>
          <w:lang w:eastAsia="en-US"/>
        </w:rPr>
        <w:t>התשע"ח</w:t>
      </w:r>
      <w:proofErr w:type="spellEnd"/>
      <w:r>
        <w:rPr>
          <w:color w:val="auto"/>
          <w:rtl/>
          <w:lang w:eastAsia="en-US"/>
        </w:rPr>
        <w:t xml:space="preserve"> – 26.2.18</w:t>
      </w:r>
    </w:p>
    <w:p w14:paraId="515248A3" w14:textId="77777777" w:rsidR="009E756A" w:rsidRDefault="009E756A" w:rsidP="00C93F48">
      <w:pPr>
        <w:pStyle w:val="Hesber"/>
        <w:rPr>
          <w:rtl/>
        </w:rPr>
      </w:pPr>
    </w:p>
    <w:p w14:paraId="5CB97306" w14:textId="77777777" w:rsidR="009E756A" w:rsidRPr="00CD2644" w:rsidRDefault="009E756A" w:rsidP="00C93F48">
      <w:pPr>
        <w:pStyle w:val="Hesber"/>
        <w:rPr>
          <w:rtl/>
        </w:rPr>
      </w:pPr>
    </w:p>
    <w:sectPr w:rsidR="009E756A" w:rsidRPr="00CD2644"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E756A">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617BCA7F" w14:textId="77777777" w:rsidR="00B068FC" w:rsidRDefault="00B068FC" w:rsidP="00B068FC">
      <w:pPr>
        <w:pStyle w:val="a4"/>
        <w:rPr>
          <w:rtl/>
        </w:rPr>
      </w:pPr>
      <w:r>
        <w:rPr>
          <w:rStyle w:val="a5"/>
        </w:rPr>
        <w:footnoteRef/>
      </w:r>
      <w:r>
        <w:rPr>
          <w:rFonts w:hint="cs"/>
          <w:rtl/>
        </w:rPr>
        <w:t xml:space="preserve">ס"ח </w:t>
      </w:r>
      <w:proofErr w:type="spellStart"/>
      <w:r>
        <w:rPr>
          <w:rFonts w:hint="cs"/>
          <w:rtl/>
        </w:rPr>
        <w:t>התשע"ד</w:t>
      </w:r>
      <w:proofErr w:type="spellEnd"/>
      <w:r>
        <w:rPr>
          <w:rFonts w:hint="cs"/>
          <w:rtl/>
        </w:rPr>
        <w:t xml:space="preserve">, עמ' 778. </w:t>
      </w:r>
    </w:p>
  </w:footnote>
  <w:footnote w:id="3">
    <w:p w14:paraId="258DD9A6" w14:textId="77777777" w:rsidR="00B068FC" w:rsidRDefault="00B068FC" w:rsidP="00B068FC">
      <w:pPr>
        <w:pStyle w:val="a4"/>
      </w:pPr>
      <w:r>
        <w:rPr>
          <w:rStyle w:val="a5"/>
        </w:rPr>
        <w:footnoteRef/>
      </w:r>
      <w:r>
        <w:rPr>
          <w:rtl/>
        </w:rPr>
        <w:t xml:space="preserve"> </w:t>
      </w:r>
      <w:r>
        <w:rPr>
          <w:rFonts w:hint="cs"/>
          <w:rtl/>
        </w:rPr>
        <w:t xml:space="preserve">ס"ח </w:t>
      </w:r>
      <w:proofErr w:type="spellStart"/>
      <w:r>
        <w:rPr>
          <w:rFonts w:hint="cs"/>
          <w:rtl/>
        </w:rPr>
        <w:t>התשמ"ה</w:t>
      </w:r>
      <w:proofErr w:type="spellEnd"/>
      <w:r>
        <w:rPr>
          <w:rFonts w:hint="cs"/>
          <w:rtl/>
        </w:rPr>
        <w:t>, עמ'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C6734"/>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3369"/>
    <w:rsid w:val="00644940"/>
    <w:rsid w:val="006818A9"/>
    <w:rsid w:val="006A2D81"/>
    <w:rsid w:val="006C1D0D"/>
    <w:rsid w:val="0070601E"/>
    <w:rsid w:val="00712C72"/>
    <w:rsid w:val="00735FE9"/>
    <w:rsid w:val="00763CAA"/>
    <w:rsid w:val="00765F66"/>
    <w:rsid w:val="0078664F"/>
    <w:rsid w:val="007C3FA6"/>
    <w:rsid w:val="007D585A"/>
    <w:rsid w:val="007D5A12"/>
    <w:rsid w:val="007E59F9"/>
    <w:rsid w:val="007F0742"/>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9E756A"/>
    <w:rsid w:val="00A14672"/>
    <w:rsid w:val="00A26BD6"/>
    <w:rsid w:val="00A443CF"/>
    <w:rsid w:val="00A6611D"/>
    <w:rsid w:val="00A82CB7"/>
    <w:rsid w:val="00A942C1"/>
    <w:rsid w:val="00AA2F03"/>
    <w:rsid w:val="00AC36F7"/>
    <w:rsid w:val="00AC63A4"/>
    <w:rsid w:val="00AD239E"/>
    <w:rsid w:val="00B068FC"/>
    <w:rsid w:val="00B10265"/>
    <w:rsid w:val="00B16A99"/>
    <w:rsid w:val="00B21211"/>
    <w:rsid w:val="00B35784"/>
    <w:rsid w:val="00B46105"/>
    <w:rsid w:val="00B733A7"/>
    <w:rsid w:val="00B73952"/>
    <w:rsid w:val="00B75C91"/>
    <w:rsid w:val="00B975AD"/>
    <w:rsid w:val="00BC45FB"/>
    <w:rsid w:val="00BF148D"/>
    <w:rsid w:val="00BF4AD6"/>
    <w:rsid w:val="00C23B1A"/>
    <w:rsid w:val="00C310EB"/>
    <w:rsid w:val="00C9176A"/>
    <w:rsid w:val="00C93F48"/>
    <w:rsid w:val="00CD2644"/>
    <w:rsid w:val="00CF1AA2"/>
    <w:rsid w:val="00D17774"/>
    <w:rsid w:val="00D63620"/>
    <w:rsid w:val="00D8410D"/>
    <w:rsid w:val="00D867D7"/>
    <w:rsid w:val="00DB7060"/>
    <w:rsid w:val="00DC133E"/>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E6015FCD-2173-4852-A115-77FC0872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AB2B2-DA44-4111-AC95-80B010A3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313</Words>
  <Characters>1797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11</cp:revision>
  <cp:lastPrinted>2018-02-25T12:27:00Z</cp:lastPrinted>
  <dcterms:created xsi:type="dcterms:W3CDTF">2015-04-20T09:58:00Z</dcterms:created>
  <dcterms:modified xsi:type="dcterms:W3CDTF">2018-02-25T12:33:00Z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2065225</vt:r8>
  </property>
</Properties>
</file>