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564138</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CF1AA2">
      <w:pPr>
        <w:pStyle w:val="David"/>
        <w:ind w:left="3544"/>
        <w:rPr>
          <w:b/>
          <w:bCs/>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מרב מיכאלי</w:t>
      </w:r>
      <w:bookmarkEnd w:id="3"/>
    </w:p>
    <w:p w14:paraId="7F6961AA" w14:textId="77777777" w:rsidR="00E13C27" w:rsidRPr="00CF1AA2" w:rsidRDefault="007D585A" w:rsidP="00CF1AA2">
      <w:pPr>
        <w:pStyle w:val="David"/>
        <w:ind w:left="3544"/>
        <w:rPr>
          <w:b/>
          <w:bCs/>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52D0E246" w14:textId="77777777" w:rsidR="001F7E5A" w:rsidRDefault="0014195F" w:rsidP="00416B4D">
      <w:pPr>
        <w:pStyle w:val="David"/>
        <w:ind w:left="3544"/>
      </w:pPr>
      <w:r w:rsidRPr="00CF1AA2">
        <w:rPr>
          <w:b/>
          <w:bCs/>
          <w:noProof/>
          <w:rtl/>
          <w:lang w:eastAsia="en-US"/>
        </w:rPr>
        <mc:AlternateContent>
          <mc:Choice Requires="wps">
            <w:drawing>
              <wp:anchor distT="0" distB="0" distL="114300" distR="114300" simplePos="0" relativeHeight="251657216" behindDoc="0" locked="0" layoutInCell="1" allowOverlap="1" wp14:anchorId="7F6961CE" wp14:editId="7F6961CF">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61E1B7" id="Freeform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sidRPr="00E06736">
        <w:rPr>
          <w:rFonts w:hint="cs"/>
          <w:rtl/>
        </w:rPr>
        <w:tab/>
      </w:r>
      <w:r w:rsidR="00416B4D">
        <w:tab/>
      </w:r>
      <w:r w:rsidR="00FA5E88">
        <w:tab/>
      </w:r>
      <w:r w:rsidR="00E13C27" w:rsidRPr="00E06736">
        <w:rPr>
          <w:rFonts w:hint="cs"/>
          <w:rtl/>
        </w:rPr>
        <w:tab/>
      </w:r>
      <w:r w:rsidR="00E06736" w:rsidRPr="00E06736">
        <w:tab/>
      </w:r>
      <w:bookmarkStart w:id="6" w:name="Private_Number"/>
    </w:p>
    <w:p w14:paraId="7F6961AB" w14:textId="32857FF5" w:rsidR="00E13C27" w:rsidRPr="00E06736" w:rsidRDefault="0014195F" w:rsidP="001F7E5A">
      <w:pPr>
        <w:pStyle w:val="David"/>
        <w:ind w:left="6424" w:firstLine="56"/>
        <w:rPr>
          <w:rtl/>
        </w:rPr>
      </w:pPr>
      <w:r>
        <w:rPr>
          <w:rFonts w:hint="cs"/>
          <w:rtl/>
        </w:rPr>
        <w:t>פ/4182/20</w:t>
      </w:r>
      <w:bookmarkEnd w:id="6"/>
      <w:r w:rsidR="00E13C27" w:rsidRPr="00E06736">
        <w:rPr>
          <w:rFonts w:hint="cs"/>
          <w:rtl/>
        </w:rPr>
        <w:tab/>
      </w:r>
      <w:r w:rsidR="00E13C27" w:rsidRPr="00E06736">
        <w:rPr>
          <w:rFonts w:hint="cs"/>
          <w:rtl/>
        </w:rPr>
        <w:tab/>
      </w:r>
      <w:r w:rsidR="00E13C27" w:rsidRPr="00E06736">
        <w:rPr>
          <w:rFonts w:hint="cs"/>
          <w:rtl/>
        </w:rPr>
        <w:tab/>
      </w:r>
    </w:p>
    <w:p w14:paraId="7F6961AC" w14:textId="77777777" w:rsidR="00E13C27" w:rsidRDefault="00E13C27" w:rsidP="00E13C27">
      <w:pPr>
        <w:spacing w:before="0" w:line="360" w:lineRule="auto"/>
        <w:ind w:left="2880" w:firstLine="720"/>
        <w:rPr>
          <w:rFonts w:cs="David"/>
          <w:sz w:val="26"/>
          <w:szCs w:val="26"/>
          <w:rtl/>
        </w:rPr>
      </w:pPr>
    </w:p>
    <w:p w14:paraId="7F6961AD" w14:textId="57F8500F" w:rsidR="00E13C27" w:rsidRDefault="00C25AAC" w:rsidP="00F65E10">
      <w:pPr>
        <w:pStyle w:val="HeadHatzaotHok"/>
        <w:tabs>
          <w:tab w:val="left" w:pos="984"/>
          <w:tab w:val="center" w:pos="4819"/>
        </w:tabs>
        <w:spacing w:line="240" w:lineRule="auto"/>
        <w:jc w:val="left"/>
        <w:rPr>
          <w:rtl/>
        </w:rPr>
      </w:pPr>
      <w:bookmarkStart w:id="7" w:name="LGS_Subject"/>
      <w:r>
        <w:rPr>
          <w:rtl/>
        </w:rPr>
        <w:tab/>
      </w:r>
      <w:r>
        <w:rPr>
          <w:rtl/>
        </w:rPr>
        <w:tab/>
      </w:r>
      <w:r w:rsidR="00A443CF">
        <w:rPr>
          <w:rFonts w:hint="cs"/>
          <w:rtl/>
        </w:rPr>
        <w:t xml:space="preserve">הצעת חוק שעות עבודה ומנוחה (תיקון </w:t>
      </w:r>
      <w:r w:rsidR="00F65E10">
        <w:rPr>
          <w:rFonts w:hint="eastAsia"/>
          <w:rtl/>
        </w:rPr>
        <w:t>–</w:t>
      </w:r>
      <w:r w:rsidR="00F65E10">
        <w:rPr>
          <w:rFonts w:hint="cs"/>
          <w:rtl/>
        </w:rPr>
        <w:t xml:space="preserve"> </w:t>
      </w:r>
      <w:r w:rsidR="00A443CF">
        <w:rPr>
          <w:rFonts w:hint="cs"/>
          <w:rtl/>
        </w:rPr>
        <w:t>קיצור שבוע העבודה), התשע"</w:t>
      </w:r>
      <w:r w:rsidR="008066B8">
        <w:rPr>
          <w:rFonts w:hint="cs"/>
          <w:rtl/>
        </w:rPr>
        <w:t>ז</w:t>
      </w:r>
      <w:r w:rsidR="00AA196F">
        <w:rPr>
          <w:rFonts w:hint="eastAsia"/>
          <w:rtl/>
        </w:rPr>
        <w:t>–</w:t>
      </w:r>
      <w:bookmarkEnd w:id="7"/>
      <w:r w:rsidR="00AA196F">
        <w:rPr>
          <w:rFonts w:hint="cs"/>
          <w:rtl/>
        </w:rPr>
        <w:t>2017</w:t>
      </w:r>
    </w:p>
    <w:p w14:paraId="5B85C52A" w14:textId="77777777" w:rsidR="00C25AAC" w:rsidRDefault="00C25AAC" w:rsidP="00A443CF">
      <w:pPr>
        <w:pStyle w:val="HeadHatzaotHok"/>
        <w:spacing w:line="240" w:lineRule="auto"/>
        <w:rPr>
          <w:rtl/>
        </w:rPr>
      </w:pPr>
      <w:r>
        <w:rPr>
          <w:rFonts w:hint="cs"/>
          <w:rtl/>
        </w:rPr>
        <w:tab/>
      </w:r>
    </w:p>
    <w:tbl>
      <w:tblPr>
        <w:bidiVisual/>
        <w:tblW w:w="9641" w:type="dxa"/>
        <w:tblCellMar>
          <w:top w:w="57" w:type="dxa"/>
          <w:left w:w="0" w:type="dxa"/>
          <w:bottom w:w="57" w:type="dxa"/>
          <w:right w:w="0" w:type="dxa"/>
        </w:tblCellMar>
        <w:tblLook w:val="0000" w:firstRow="0" w:lastRow="0" w:firstColumn="0" w:lastColumn="0" w:noHBand="0" w:noVBand="0"/>
      </w:tblPr>
      <w:tblGrid>
        <w:gridCol w:w="1871"/>
        <w:gridCol w:w="624"/>
        <w:gridCol w:w="624"/>
        <w:gridCol w:w="6522"/>
      </w:tblGrid>
      <w:tr w:rsidR="00C25AAC" w14:paraId="731A38F6" w14:textId="77777777" w:rsidTr="009F4336">
        <w:trPr>
          <w:cantSplit/>
        </w:trPr>
        <w:tc>
          <w:tcPr>
            <w:tcW w:w="1871" w:type="dxa"/>
            <w:tcBorders>
              <w:top w:val="nil"/>
              <w:left w:val="nil"/>
              <w:bottom w:val="nil"/>
              <w:right w:val="nil"/>
            </w:tcBorders>
          </w:tcPr>
          <w:p w14:paraId="6240ABA6" w14:textId="77777777" w:rsidR="00C25AAC" w:rsidRDefault="00C25AAC" w:rsidP="009F4336">
            <w:pPr>
              <w:pStyle w:val="TableSideHeading"/>
              <w:ind w:right="0"/>
            </w:pPr>
            <w:r>
              <w:rPr>
                <w:sz w:val="26"/>
                <w:rtl/>
              </w:rPr>
              <w:t>תיקון סעיף 3</w:t>
            </w:r>
          </w:p>
        </w:tc>
        <w:tc>
          <w:tcPr>
            <w:tcW w:w="624" w:type="dxa"/>
            <w:tcBorders>
              <w:top w:val="nil"/>
              <w:left w:val="nil"/>
              <w:bottom w:val="nil"/>
              <w:right w:val="nil"/>
            </w:tcBorders>
          </w:tcPr>
          <w:p w14:paraId="6605E8E0" w14:textId="77777777" w:rsidR="00C25AAC" w:rsidRDefault="00C25AAC" w:rsidP="009F4336">
            <w:pPr>
              <w:pStyle w:val="TableText"/>
              <w:ind w:right="0"/>
              <w:jc w:val="both"/>
            </w:pPr>
            <w:r>
              <w:rPr>
                <w:sz w:val="26"/>
                <w:rtl/>
              </w:rPr>
              <w:t>1.</w:t>
            </w:r>
          </w:p>
        </w:tc>
        <w:tc>
          <w:tcPr>
            <w:tcW w:w="7146" w:type="dxa"/>
            <w:gridSpan w:val="2"/>
            <w:tcBorders>
              <w:top w:val="nil"/>
              <w:left w:val="nil"/>
              <w:bottom w:val="nil"/>
              <w:right w:val="nil"/>
            </w:tcBorders>
          </w:tcPr>
          <w:p w14:paraId="0BC3D6F5" w14:textId="77777777" w:rsidR="00C25AAC" w:rsidRDefault="00C25AAC" w:rsidP="009F4336">
            <w:pPr>
              <w:pStyle w:val="TableBlock"/>
            </w:pPr>
            <w:r>
              <w:rPr>
                <w:sz w:val="26"/>
                <w:rtl/>
              </w:rPr>
              <w:t>בחוק שעות עבו</w:t>
            </w:r>
            <w:bookmarkStart w:id="8" w:name="_GoBack"/>
            <w:bookmarkEnd w:id="8"/>
            <w:r>
              <w:rPr>
                <w:sz w:val="26"/>
                <w:rtl/>
              </w:rPr>
              <w:t>דה ומנוחה, התשי"א–1951</w:t>
            </w:r>
            <w:r>
              <w:rPr>
                <w:rStyle w:val="a6"/>
                <w:sz w:val="26"/>
                <w:rtl/>
              </w:rPr>
              <w:footnoteReference w:id="2"/>
            </w:r>
            <w:r>
              <w:rPr>
                <w:sz w:val="26"/>
                <w:rtl/>
              </w:rPr>
              <w:t xml:space="preserve"> (להלן – החוק העיקרי), בסעיף 3</w:t>
            </w:r>
            <w:r>
              <w:rPr>
                <w:rFonts w:hint="cs"/>
                <w:sz w:val="26"/>
                <w:rtl/>
              </w:rPr>
              <w:t xml:space="preserve">, </w:t>
            </w:r>
            <w:r>
              <w:rPr>
                <w:sz w:val="26"/>
                <w:rtl/>
              </w:rPr>
              <w:t xml:space="preserve">במקום "ארבעים וחמש" יבוא "שלושים </w:t>
            </w:r>
            <w:r>
              <w:rPr>
                <w:rFonts w:hint="cs"/>
                <w:sz w:val="26"/>
                <w:rtl/>
              </w:rPr>
              <w:t>ושבע</w:t>
            </w:r>
            <w:r>
              <w:rPr>
                <w:sz w:val="26"/>
                <w:rtl/>
              </w:rPr>
              <w:t>".</w:t>
            </w:r>
          </w:p>
        </w:tc>
      </w:tr>
      <w:tr w:rsidR="00C25AAC" w14:paraId="2611ED4C" w14:textId="77777777" w:rsidTr="009F4336">
        <w:trPr>
          <w:cantSplit/>
        </w:trPr>
        <w:tc>
          <w:tcPr>
            <w:tcW w:w="1871" w:type="dxa"/>
            <w:tcBorders>
              <w:top w:val="nil"/>
              <w:left w:val="nil"/>
              <w:bottom w:val="nil"/>
              <w:right w:val="nil"/>
            </w:tcBorders>
          </w:tcPr>
          <w:p w14:paraId="50082BE7" w14:textId="77777777" w:rsidR="00C25AAC" w:rsidRDefault="00C25AAC" w:rsidP="009F4336">
            <w:pPr>
              <w:pStyle w:val="TableSideHeading"/>
              <w:ind w:right="0"/>
            </w:pPr>
            <w:r>
              <w:rPr>
                <w:sz w:val="26"/>
                <w:rtl/>
              </w:rPr>
              <w:t>תיקון סעיף 4</w:t>
            </w:r>
          </w:p>
        </w:tc>
        <w:tc>
          <w:tcPr>
            <w:tcW w:w="624" w:type="dxa"/>
            <w:tcBorders>
              <w:top w:val="nil"/>
              <w:left w:val="nil"/>
              <w:bottom w:val="nil"/>
              <w:right w:val="nil"/>
            </w:tcBorders>
          </w:tcPr>
          <w:p w14:paraId="64892464" w14:textId="77777777" w:rsidR="00C25AAC" w:rsidRDefault="00C25AAC" w:rsidP="009F4336">
            <w:pPr>
              <w:pStyle w:val="TableText"/>
              <w:ind w:right="0"/>
              <w:jc w:val="both"/>
            </w:pPr>
            <w:r>
              <w:rPr>
                <w:sz w:val="26"/>
                <w:rtl/>
              </w:rPr>
              <w:t>2.</w:t>
            </w:r>
          </w:p>
        </w:tc>
        <w:tc>
          <w:tcPr>
            <w:tcW w:w="7146" w:type="dxa"/>
            <w:gridSpan w:val="2"/>
            <w:tcBorders>
              <w:top w:val="nil"/>
              <w:left w:val="nil"/>
              <w:bottom w:val="nil"/>
              <w:right w:val="nil"/>
            </w:tcBorders>
          </w:tcPr>
          <w:p w14:paraId="7C460A9C" w14:textId="77777777" w:rsidR="00C25AAC" w:rsidRDefault="00C25AAC" w:rsidP="009F4336">
            <w:pPr>
              <w:pStyle w:val="TableBlock"/>
            </w:pPr>
            <w:r>
              <w:rPr>
                <w:sz w:val="26"/>
                <w:rtl/>
              </w:rPr>
              <w:t>בסעיף 4 לחוק העיקרי –</w:t>
            </w:r>
          </w:p>
        </w:tc>
      </w:tr>
      <w:tr w:rsidR="00C25AAC" w14:paraId="4E8ACD94" w14:textId="77777777" w:rsidTr="009F4336">
        <w:trPr>
          <w:cantSplit/>
        </w:trPr>
        <w:tc>
          <w:tcPr>
            <w:tcW w:w="1871" w:type="dxa"/>
            <w:tcBorders>
              <w:top w:val="nil"/>
              <w:left w:val="nil"/>
              <w:bottom w:val="nil"/>
              <w:right w:val="nil"/>
            </w:tcBorders>
          </w:tcPr>
          <w:p w14:paraId="18C9425F" w14:textId="77777777" w:rsidR="00C25AAC" w:rsidRDefault="00C25AAC" w:rsidP="009F4336">
            <w:pPr>
              <w:pStyle w:val="TableSideHeading"/>
              <w:ind w:right="0"/>
            </w:pPr>
          </w:p>
        </w:tc>
        <w:tc>
          <w:tcPr>
            <w:tcW w:w="624" w:type="dxa"/>
            <w:tcBorders>
              <w:top w:val="nil"/>
              <w:left w:val="nil"/>
              <w:bottom w:val="nil"/>
              <w:right w:val="nil"/>
            </w:tcBorders>
          </w:tcPr>
          <w:p w14:paraId="7C03EE1B" w14:textId="77777777" w:rsidR="00C25AAC" w:rsidRDefault="00C25AAC" w:rsidP="009F4336">
            <w:pPr>
              <w:pStyle w:val="TableText"/>
              <w:ind w:right="0"/>
              <w:jc w:val="both"/>
            </w:pPr>
          </w:p>
        </w:tc>
        <w:tc>
          <w:tcPr>
            <w:tcW w:w="7146" w:type="dxa"/>
            <w:gridSpan w:val="2"/>
            <w:tcBorders>
              <w:top w:val="nil"/>
              <w:left w:val="nil"/>
              <w:bottom w:val="nil"/>
              <w:right w:val="nil"/>
            </w:tcBorders>
          </w:tcPr>
          <w:p w14:paraId="3DD27978" w14:textId="1892919F" w:rsidR="00C25AAC" w:rsidRDefault="000D2319" w:rsidP="000D2319">
            <w:pPr>
              <w:pStyle w:val="TableBlock"/>
            </w:pPr>
            <w:r>
              <w:rPr>
                <w:sz w:val="26"/>
                <w:rtl/>
              </w:rPr>
              <w:t>(1)</w:t>
            </w:r>
            <w:r>
              <w:rPr>
                <w:sz w:val="26"/>
                <w:rtl/>
              </w:rPr>
              <w:tab/>
              <w:t>בסעיף קטן (א)</w:t>
            </w:r>
            <w:r>
              <w:rPr>
                <w:rFonts w:hint="cs"/>
                <w:sz w:val="26"/>
                <w:rtl/>
              </w:rPr>
              <w:t xml:space="preserve"> </w:t>
            </w:r>
            <w:r w:rsidR="00C25AAC">
              <w:rPr>
                <w:sz w:val="26"/>
                <w:rtl/>
              </w:rPr>
              <w:t xml:space="preserve">– </w:t>
            </w:r>
          </w:p>
        </w:tc>
      </w:tr>
      <w:tr w:rsidR="00C25AAC" w14:paraId="27BBDBD7" w14:textId="77777777" w:rsidTr="009F4336">
        <w:trPr>
          <w:cantSplit/>
        </w:trPr>
        <w:tc>
          <w:tcPr>
            <w:tcW w:w="1871" w:type="dxa"/>
            <w:tcBorders>
              <w:top w:val="nil"/>
              <w:left w:val="nil"/>
              <w:bottom w:val="nil"/>
              <w:right w:val="nil"/>
            </w:tcBorders>
          </w:tcPr>
          <w:p w14:paraId="3DFD9091" w14:textId="77777777" w:rsidR="00C25AAC" w:rsidRDefault="00C25AAC" w:rsidP="009F4336">
            <w:pPr>
              <w:pStyle w:val="TableSideHeading"/>
            </w:pPr>
          </w:p>
        </w:tc>
        <w:tc>
          <w:tcPr>
            <w:tcW w:w="624" w:type="dxa"/>
            <w:tcBorders>
              <w:top w:val="nil"/>
              <w:left w:val="nil"/>
              <w:bottom w:val="nil"/>
              <w:right w:val="nil"/>
            </w:tcBorders>
          </w:tcPr>
          <w:p w14:paraId="439FD06F" w14:textId="77777777" w:rsidR="00C25AAC" w:rsidRDefault="00C25AAC" w:rsidP="009F4336">
            <w:pPr>
              <w:pStyle w:val="TableText"/>
            </w:pPr>
          </w:p>
        </w:tc>
        <w:tc>
          <w:tcPr>
            <w:tcW w:w="624" w:type="dxa"/>
            <w:tcBorders>
              <w:top w:val="nil"/>
              <w:left w:val="nil"/>
              <w:bottom w:val="nil"/>
              <w:right w:val="nil"/>
            </w:tcBorders>
          </w:tcPr>
          <w:p w14:paraId="650C1048" w14:textId="77777777" w:rsidR="00C25AAC" w:rsidRDefault="00C25AAC" w:rsidP="009F4336">
            <w:pPr>
              <w:pStyle w:val="TableText"/>
            </w:pPr>
          </w:p>
        </w:tc>
        <w:tc>
          <w:tcPr>
            <w:tcW w:w="6522" w:type="dxa"/>
            <w:tcBorders>
              <w:top w:val="nil"/>
              <w:left w:val="nil"/>
              <w:bottom w:val="nil"/>
              <w:right w:val="nil"/>
            </w:tcBorders>
          </w:tcPr>
          <w:p w14:paraId="1AD991D2" w14:textId="58485860" w:rsidR="00C25AAC" w:rsidRDefault="00C25AAC" w:rsidP="00BB74BF">
            <w:pPr>
              <w:pStyle w:val="TableBlock"/>
            </w:pPr>
            <w:r>
              <w:rPr>
                <w:sz w:val="26"/>
                <w:rtl/>
              </w:rPr>
              <w:t>(א)</w:t>
            </w:r>
            <w:r>
              <w:rPr>
                <w:sz w:val="26"/>
                <w:rtl/>
              </w:rPr>
              <w:tab/>
            </w:r>
            <w:r w:rsidR="000D2319">
              <w:rPr>
                <w:rFonts w:hint="cs"/>
                <w:rtl/>
              </w:rPr>
              <w:t xml:space="preserve">בפסקה (2), </w:t>
            </w:r>
            <w:r w:rsidR="00BB74BF" w:rsidRPr="00615AAA">
              <w:rPr>
                <w:rFonts w:hint="eastAsia"/>
                <w:rtl/>
              </w:rPr>
              <w:t>במקום</w:t>
            </w:r>
            <w:r w:rsidR="00BB74BF" w:rsidRPr="00615AAA">
              <w:rPr>
                <w:rtl/>
              </w:rPr>
              <w:t xml:space="preserve"> "י</w:t>
            </w:r>
            <w:r w:rsidR="00BB74BF" w:rsidRPr="00615AAA">
              <w:rPr>
                <w:rFonts w:hint="eastAsia"/>
                <w:rtl/>
              </w:rPr>
              <w:t>ום</w:t>
            </w:r>
            <w:r w:rsidR="00BB74BF" w:rsidRPr="00615AAA">
              <w:rPr>
                <w:rtl/>
              </w:rPr>
              <w:t xml:space="preserve"> </w:t>
            </w:r>
            <w:r w:rsidR="00BB74BF" w:rsidRPr="00615AAA">
              <w:rPr>
                <w:rFonts w:hint="eastAsia"/>
                <w:rtl/>
              </w:rPr>
              <w:t>עבודה</w:t>
            </w:r>
            <w:r w:rsidR="00BB74BF" w:rsidRPr="00615AAA">
              <w:rPr>
                <w:rtl/>
              </w:rPr>
              <w:t xml:space="preserve"> </w:t>
            </w:r>
            <w:r w:rsidR="00BB74BF" w:rsidRPr="00615AAA">
              <w:rPr>
                <w:rFonts w:hint="eastAsia"/>
                <w:rtl/>
              </w:rPr>
              <w:t>שתחומו</w:t>
            </w:r>
            <w:r w:rsidR="00BB74BF" w:rsidRPr="00615AAA">
              <w:rPr>
                <w:rtl/>
              </w:rPr>
              <w:t xml:space="preserve"> </w:t>
            </w:r>
            <w:r w:rsidR="00BB74BF" w:rsidRPr="00615AAA">
              <w:rPr>
                <w:rFonts w:hint="eastAsia"/>
                <w:rtl/>
              </w:rPr>
              <w:t>יתר</w:t>
            </w:r>
            <w:r w:rsidR="00BB74BF" w:rsidRPr="00615AAA">
              <w:rPr>
                <w:rtl/>
              </w:rPr>
              <w:t xml:space="preserve"> </w:t>
            </w:r>
            <w:r w:rsidR="00BB74BF" w:rsidRPr="00615AAA">
              <w:rPr>
                <w:rFonts w:hint="eastAsia"/>
                <w:rtl/>
              </w:rPr>
              <w:t>על</w:t>
            </w:r>
            <w:r w:rsidR="00BB74BF" w:rsidRPr="00615AAA">
              <w:rPr>
                <w:rtl/>
              </w:rPr>
              <w:t xml:space="preserve"> </w:t>
            </w:r>
            <w:r w:rsidR="00BB74BF" w:rsidRPr="00615AAA">
              <w:rPr>
                <w:rFonts w:hint="eastAsia"/>
                <w:rtl/>
              </w:rPr>
              <w:t>הקבוע</w:t>
            </w:r>
            <w:r w:rsidR="00BB74BF" w:rsidRPr="00615AAA">
              <w:rPr>
                <w:rtl/>
              </w:rPr>
              <w:t xml:space="preserve"> </w:t>
            </w:r>
            <w:r w:rsidR="00BB74BF" w:rsidRPr="00615AAA">
              <w:rPr>
                <w:rFonts w:hint="eastAsia"/>
                <w:rtl/>
              </w:rPr>
              <w:t>בסעיף</w:t>
            </w:r>
            <w:r w:rsidR="00BB74BF" w:rsidRPr="00615AAA">
              <w:rPr>
                <w:rtl/>
              </w:rPr>
              <w:t xml:space="preserve"> 2 </w:t>
            </w:r>
            <w:r w:rsidR="00BB74BF" w:rsidRPr="00615AAA">
              <w:rPr>
                <w:rFonts w:hint="eastAsia"/>
                <w:rtl/>
              </w:rPr>
              <w:t>ושבוע</w:t>
            </w:r>
            <w:r w:rsidR="00BB74BF" w:rsidRPr="00615AAA">
              <w:rPr>
                <w:rtl/>
              </w:rPr>
              <w:t xml:space="preserve"> </w:t>
            </w:r>
            <w:r w:rsidR="00BB74BF" w:rsidRPr="00615AAA">
              <w:rPr>
                <w:rFonts w:hint="eastAsia"/>
                <w:rtl/>
              </w:rPr>
              <w:t>עבודה</w:t>
            </w:r>
            <w:r w:rsidR="00BB74BF" w:rsidRPr="00615AAA">
              <w:rPr>
                <w:rtl/>
              </w:rPr>
              <w:t xml:space="preserve"> </w:t>
            </w:r>
            <w:r w:rsidR="00BB74BF" w:rsidRPr="00615AAA">
              <w:rPr>
                <w:rFonts w:hint="eastAsia"/>
                <w:rtl/>
              </w:rPr>
              <w:t>שתחומו</w:t>
            </w:r>
            <w:r w:rsidR="00BB74BF" w:rsidRPr="00615AAA">
              <w:rPr>
                <w:rtl/>
              </w:rPr>
              <w:t xml:space="preserve"> </w:t>
            </w:r>
            <w:r w:rsidR="00BB74BF" w:rsidRPr="00615AAA">
              <w:rPr>
                <w:rFonts w:hint="eastAsia"/>
                <w:rtl/>
              </w:rPr>
              <w:t>יתר</w:t>
            </w:r>
            <w:r w:rsidR="00BB74BF" w:rsidRPr="00615AAA">
              <w:rPr>
                <w:rtl/>
              </w:rPr>
              <w:t xml:space="preserve"> </w:t>
            </w:r>
            <w:r w:rsidR="00BB74BF" w:rsidRPr="00615AAA">
              <w:rPr>
                <w:rFonts w:hint="eastAsia"/>
                <w:rtl/>
              </w:rPr>
              <w:t>על</w:t>
            </w:r>
            <w:r w:rsidR="00BB74BF" w:rsidRPr="00615AAA">
              <w:rPr>
                <w:rtl/>
              </w:rPr>
              <w:t xml:space="preserve"> </w:t>
            </w:r>
            <w:r w:rsidR="00BB74BF" w:rsidRPr="00615AAA">
              <w:rPr>
                <w:rFonts w:hint="eastAsia"/>
                <w:rtl/>
              </w:rPr>
              <w:t>הקבוע</w:t>
            </w:r>
            <w:r w:rsidR="00BB74BF" w:rsidRPr="00615AAA">
              <w:rPr>
                <w:rtl/>
              </w:rPr>
              <w:t xml:space="preserve"> </w:t>
            </w:r>
            <w:r w:rsidR="00BB74BF" w:rsidRPr="00615AAA">
              <w:rPr>
                <w:rFonts w:hint="eastAsia"/>
                <w:rtl/>
              </w:rPr>
              <w:t>בסעי</w:t>
            </w:r>
            <w:r w:rsidR="00BB74BF" w:rsidRPr="00615AAA">
              <w:rPr>
                <w:rtl/>
              </w:rPr>
              <w:t xml:space="preserve">ף 3" </w:t>
            </w:r>
            <w:r w:rsidRPr="00615AAA">
              <w:rPr>
                <w:rtl/>
              </w:rPr>
              <w:t>יבוא "יום עבודה שאורכו עולה על הקבוע בסעיף 2, ובלבד ששבוע העבודה לא יעלה על הקבוע בסעיף</w:t>
            </w:r>
            <w:r>
              <w:rPr>
                <w:sz w:val="26"/>
                <w:rtl/>
              </w:rPr>
              <w:t xml:space="preserve"> 3";</w:t>
            </w:r>
          </w:p>
        </w:tc>
      </w:tr>
      <w:tr w:rsidR="00C25AAC" w14:paraId="4B0F297E" w14:textId="77777777" w:rsidTr="009F4336">
        <w:trPr>
          <w:cantSplit/>
        </w:trPr>
        <w:tc>
          <w:tcPr>
            <w:tcW w:w="1871" w:type="dxa"/>
            <w:tcBorders>
              <w:top w:val="nil"/>
              <w:left w:val="nil"/>
              <w:bottom w:val="nil"/>
              <w:right w:val="nil"/>
            </w:tcBorders>
          </w:tcPr>
          <w:p w14:paraId="6CED8392" w14:textId="77777777" w:rsidR="00C25AAC" w:rsidRDefault="00C25AAC" w:rsidP="009F4336">
            <w:pPr>
              <w:pStyle w:val="TableSideHeading"/>
            </w:pPr>
          </w:p>
        </w:tc>
        <w:tc>
          <w:tcPr>
            <w:tcW w:w="624" w:type="dxa"/>
            <w:tcBorders>
              <w:top w:val="nil"/>
              <w:left w:val="nil"/>
              <w:bottom w:val="nil"/>
              <w:right w:val="nil"/>
            </w:tcBorders>
          </w:tcPr>
          <w:p w14:paraId="6EDD6847" w14:textId="77777777" w:rsidR="00C25AAC" w:rsidRDefault="00C25AAC" w:rsidP="009F4336">
            <w:pPr>
              <w:pStyle w:val="TableText"/>
            </w:pPr>
          </w:p>
        </w:tc>
        <w:tc>
          <w:tcPr>
            <w:tcW w:w="624" w:type="dxa"/>
            <w:tcBorders>
              <w:top w:val="nil"/>
              <w:left w:val="nil"/>
              <w:bottom w:val="nil"/>
              <w:right w:val="nil"/>
            </w:tcBorders>
          </w:tcPr>
          <w:p w14:paraId="3EF66FBE" w14:textId="77777777" w:rsidR="00C25AAC" w:rsidRDefault="00C25AAC" w:rsidP="009F4336">
            <w:pPr>
              <w:pStyle w:val="TableText"/>
            </w:pPr>
          </w:p>
        </w:tc>
        <w:tc>
          <w:tcPr>
            <w:tcW w:w="6522" w:type="dxa"/>
            <w:tcBorders>
              <w:top w:val="nil"/>
              <w:left w:val="nil"/>
              <w:bottom w:val="nil"/>
              <w:right w:val="nil"/>
            </w:tcBorders>
          </w:tcPr>
          <w:p w14:paraId="0F29A0EC" w14:textId="1C301EFA" w:rsidR="00C25AAC" w:rsidRDefault="008066B8" w:rsidP="000D2319">
            <w:pPr>
              <w:pStyle w:val="TableBlock"/>
              <w:rPr>
                <w:sz w:val="26"/>
                <w:rtl/>
              </w:rPr>
            </w:pPr>
            <w:r>
              <w:rPr>
                <w:sz w:val="26"/>
                <w:rtl/>
              </w:rPr>
              <w:t>(ב)</w:t>
            </w:r>
            <w:r>
              <w:rPr>
                <w:sz w:val="26"/>
                <w:rtl/>
              </w:rPr>
              <w:tab/>
              <w:t>בס</w:t>
            </w:r>
            <w:r w:rsidR="000D2319">
              <w:rPr>
                <w:rFonts w:hint="cs"/>
                <w:sz w:val="26"/>
                <w:rtl/>
              </w:rPr>
              <w:t>יפה</w:t>
            </w:r>
            <w:r w:rsidR="00C25AAC">
              <w:rPr>
                <w:sz w:val="26"/>
                <w:rtl/>
              </w:rPr>
              <w:t xml:space="preserve">, במקום "על ארבעים וחמש שעות עבודה" יבוא "על שלושים </w:t>
            </w:r>
            <w:r w:rsidR="00C25AAC">
              <w:rPr>
                <w:rFonts w:hint="cs"/>
                <w:sz w:val="26"/>
                <w:rtl/>
              </w:rPr>
              <w:t>ושבע</w:t>
            </w:r>
            <w:r w:rsidR="00C25AAC">
              <w:rPr>
                <w:sz w:val="26"/>
                <w:rtl/>
              </w:rPr>
              <w:t xml:space="preserve"> שעות עבודה";</w:t>
            </w:r>
          </w:p>
        </w:tc>
      </w:tr>
      <w:tr w:rsidR="00C25AAC" w14:paraId="2B918EC7" w14:textId="77777777" w:rsidTr="009F4336">
        <w:trPr>
          <w:cantSplit/>
        </w:trPr>
        <w:tc>
          <w:tcPr>
            <w:tcW w:w="1871" w:type="dxa"/>
            <w:tcBorders>
              <w:top w:val="nil"/>
              <w:left w:val="nil"/>
              <w:bottom w:val="nil"/>
              <w:right w:val="nil"/>
            </w:tcBorders>
          </w:tcPr>
          <w:p w14:paraId="1FB7A39D" w14:textId="77777777" w:rsidR="00C25AAC" w:rsidRDefault="00C25AAC" w:rsidP="009F4336">
            <w:pPr>
              <w:pStyle w:val="TableSideHeading"/>
              <w:ind w:right="0"/>
            </w:pPr>
          </w:p>
        </w:tc>
        <w:tc>
          <w:tcPr>
            <w:tcW w:w="624" w:type="dxa"/>
            <w:tcBorders>
              <w:top w:val="nil"/>
              <w:left w:val="nil"/>
              <w:bottom w:val="nil"/>
              <w:right w:val="nil"/>
            </w:tcBorders>
          </w:tcPr>
          <w:p w14:paraId="630C7388" w14:textId="77777777" w:rsidR="00C25AAC" w:rsidRDefault="00C25AAC" w:rsidP="009F4336">
            <w:pPr>
              <w:pStyle w:val="TableText"/>
              <w:ind w:right="0"/>
              <w:jc w:val="both"/>
            </w:pPr>
          </w:p>
        </w:tc>
        <w:tc>
          <w:tcPr>
            <w:tcW w:w="7146" w:type="dxa"/>
            <w:gridSpan w:val="2"/>
            <w:tcBorders>
              <w:top w:val="nil"/>
              <w:left w:val="nil"/>
              <w:bottom w:val="nil"/>
              <w:right w:val="nil"/>
            </w:tcBorders>
          </w:tcPr>
          <w:p w14:paraId="6FB91CC4" w14:textId="77777777" w:rsidR="00C25AAC" w:rsidRDefault="00C25AAC" w:rsidP="009F4336">
            <w:pPr>
              <w:pStyle w:val="TableBlock"/>
            </w:pPr>
            <w:r>
              <w:rPr>
                <w:sz w:val="26"/>
                <w:rtl/>
              </w:rPr>
              <w:t>(2)</w:t>
            </w:r>
            <w:r>
              <w:rPr>
                <w:sz w:val="26"/>
                <w:rtl/>
              </w:rPr>
              <w:tab/>
              <w:t>במקום סעיף קטן (ב) יבוא:</w:t>
            </w:r>
          </w:p>
        </w:tc>
      </w:tr>
      <w:tr w:rsidR="00C25AAC" w14:paraId="782706F1" w14:textId="77777777" w:rsidTr="009F4336">
        <w:trPr>
          <w:cantSplit/>
        </w:trPr>
        <w:tc>
          <w:tcPr>
            <w:tcW w:w="1871" w:type="dxa"/>
            <w:tcBorders>
              <w:top w:val="nil"/>
              <w:left w:val="nil"/>
              <w:bottom w:val="nil"/>
              <w:right w:val="nil"/>
            </w:tcBorders>
          </w:tcPr>
          <w:p w14:paraId="0A1F40A3" w14:textId="77777777" w:rsidR="00C25AAC" w:rsidRDefault="00C25AAC" w:rsidP="009F4336">
            <w:pPr>
              <w:pStyle w:val="TableSideHeading"/>
              <w:ind w:right="0"/>
            </w:pPr>
          </w:p>
        </w:tc>
        <w:tc>
          <w:tcPr>
            <w:tcW w:w="624" w:type="dxa"/>
            <w:tcBorders>
              <w:top w:val="nil"/>
              <w:left w:val="nil"/>
              <w:bottom w:val="nil"/>
              <w:right w:val="nil"/>
            </w:tcBorders>
          </w:tcPr>
          <w:p w14:paraId="6BFF669C" w14:textId="77777777" w:rsidR="00C25AAC" w:rsidRDefault="00C25AAC" w:rsidP="009F4336">
            <w:pPr>
              <w:pStyle w:val="TableText"/>
            </w:pPr>
          </w:p>
        </w:tc>
        <w:tc>
          <w:tcPr>
            <w:tcW w:w="624" w:type="dxa"/>
            <w:tcBorders>
              <w:top w:val="nil"/>
              <w:left w:val="nil"/>
              <w:bottom w:val="nil"/>
              <w:right w:val="nil"/>
            </w:tcBorders>
          </w:tcPr>
          <w:p w14:paraId="40104DC2" w14:textId="77777777" w:rsidR="00C25AAC" w:rsidRDefault="00C25AAC" w:rsidP="009F4336">
            <w:pPr>
              <w:pStyle w:val="TableText"/>
              <w:ind w:right="0"/>
              <w:jc w:val="both"/>
              <w:rPr>
                <w:sz w:val="26"/>
                <w:rtl/>
              </w:rPr>
            </w:pPr>
          </w:p>
        </w:tc>
        <w:tc>
          <w:tcPr>
            <w:tcW w:w="6522" w:type="dxa"/>
            <w:tcBorders>
              <w:top w:val="nil"/>
              <w:left w:val="nil"/>
              <w:bottom w:val="nil"/>
              <w:right w:val="nil"/>
            </w:tcBorders>
          </w:tcPr>
          <w:p w14:paraId="4C83D249" w14:textId="26893F9C" w:rsidR="00C25AAC" w:rsidRDefault="00C25AAC" w:rsidP="009F4336">
            <w:pPr>
              <w:pStyle w:val="TableBlock"/>
              <w:rPr>
                <w:sz w:val="26"/>
                <w:rtl/>
              </w:rPr>
            </w:pPr>
            <w:r>
              <w:rPr>
                <w:sz w:val="26"/>
                <w:rtl/>
              </w:rPr>
              <w:t>"(ב)</w:t>
            </w:r>
            <w:r>
              <w:rPr>
                <w:sz w:val="26"/>
                <w:rtl/>
              </w:rPr>
              <w:tab/>
              <w:t>הוראות סעיפים 2 ו-3 יחולו גם על עובד</w:t>
            </w:r>
            <w:r w:rsidR="00BB74BF">
              <w:rPr>
                <w:rFonts w:hint="cs"/>
                <w:sz w:val="26"/>
                <w:rtl/>
              </w:rPr>
              <w:t xml:space="preserve"> </w:t>
            </w:r>
            <w:r w:rsidR="00BB74BF" w:rsidRPr="00615AAA">
              <w:rPr>
                <w:rFonts w:hint="eastAsia"/>
                <w:sz w:val="26"/>
                <w:rtl/>
              </w:rPr>
              <w:t>במשרה</w:t>
            </w:r>
            <w:r w:rsidRPr="00615AAA">
              <w:rPr>
                <w:sz w:val="26"/>
                <w:rtl/>
              </w:rPr>
              <w:t xml:space="preserve"> חלקי</w:t>
            </w:r>
            <w:r w:rsidR="00BB74BF" w:rsidRPr="00615AAA">
              <w:rPr>
                <w:rFonts w:hint="eastAsia"/>
                <w:sz w:val="26"/>
                <w:rtl/>
              </w:rPr>
              <w:t>ת</w:t>
            </w:r>
            <w:r>
              <w:rPr>
                <w:sz w:val="26"/>
                <w:rtl/>
              </w:rPr>
              <w:t xml:space="preserve"> ועובד זמני</w:t>
            </w:r>
            <w:r>
              <w:rPr>
                <w:rFonts w:hint="cs"/>
                <w:sz w:val="26"/>
                <w:rtl/>
              </w:rPr>
              <w:t>.</w:t>
            </w:r>
            <w:r>
              <w:rPr>
                <w:sz w:val="26"/>
                <w:rtl/>
              </w:rPr>
              <w:t>"</w:t>
            </w:r>
          </w:p>
        </w:tc>
      </w:tr>
      <w:tr w:rsidR="00C25AAC" w14:paraId="16BCC4A7" w14:textId="77777777" w:rsidTr="009F4336">
        <w:trPr>
          <w:cantSplit/>
        </w:trPr>
        <w:tc>
          <w:tcPr>
            <w:tcW w:w="1871" w:type="dxa"/>
            <w:tcBorders>
              <w:top w:val="nil"/>
              <w:left w:val="nil"/>
              <w:bottom w:val="nil"/>
              <w:right w:val="nil"/>
            </w:tcBorders>
          </w:tcPr>
          <w:p w14:paraId="0C42563F" w14:textId="77777777" w:rsidR="00C25AAC" w:rsidRDefault="00C25AAC" w:rsidP="009F4336">
            <w:pPr>
              <w:pStyle w:val="TableSideHeading"/>
              <w:ind w:right="0"/>
            </w:pPr>
            <w:r>
              <w:rPr>
                <w:sz w:val="26"/>
                <w:rtl/>
              </w:rPr>
              <w:t>תיקון סעיף 5</w:t>
            </w:r>
          </w:p>
        </w:tc>
        <w:tc>
          <w:tcPr>
            <w:tcW w:w="624" w:type="dxa"/>
            <w:tcBorders>
              <w:top w:val="nil"/>
              <w:left w:val="nil"/>
              <w:bottom w:val="nil"/>
              <w:right w:val="nil"/>
            </w:tcBorders>
          </w:tcPr>
          <w:p w14:paraId="67F36AC1" w14:textId="77777777" w:rsidR="00C25AAC" w:rsidRDefault="00C25AAC" w:rsidP="009F4336">
            <w:pPr>
              <w:pStyle w:val="TableText"/>
              <w:ind w:right="0"/>
              <w:jc w:val="both"/>
            </w:pPr>
            <w:r>
              <w:rPr>
                <w:sz w:val="26"/>
                <w:rtl/>
              </w:rPr>
              <w:t>3.</w:t>
            </w:r>
          </w:p>
        </w:tc>
        <w:tc>
          <w:tcPr>
            <w:tcW w:w="7146" w:type="dxa"/>
            <w:gridSpan w:val="2"/>
            <w:tcBorders>
              <w:top w:val="nil"/>
              <w:left w:val="nil"/>
              <w:bottom w:val="nil"/>
              <w:right w:val="nil"/>
            </w:tcBorders>
          </w:tcPr>
          <w:p w14:paraId="00534CFA" w14:textId="771617C6" w:rsidR="00C25AAC" w:rsidRDefault="00C25AAC" w:rsidP="00BB74BF">
            <w:pPr>
              <w:pStyle w:val="TableBlock"/>
            </w:pPr>
            <w:r>
              <w:rPr>
                <w:sz w:val="26"/>
                <w:rtl/>
              </w:rPr>
              <w:t xml:space="preserve">בסעיף 5 לחוק העיקרי, </w:t>
            </w:r>
            <w:r w:rsidR="00BB74BF">
              <w:rPr>
                <w:rFonts w:hint="cs"/>
                <w:sz w:val="26"/>
                <w:rtl/>
              </w:rPr>
              <w:t xml:space="preserve">סעיף קטן (א) </w:t>
            </w:r>
            <w:r w:rsidR="00BB74BF">
              <w:rPr>
                <w:rFonts w:hint="eastAsia"/>
                <w:sz w:val="26"/>
                <w:rtl/>
              </w:rPr>
              <w:t>–</w:t>
            </w:r>
            <w:r w:rsidR="00BB74BF">
              <w:rPr>
                <w:rFonts w:hint="cs"/>
                <w:sz w:val="26"/>
                <w:rtl/>
              </w:rPr>
              <w:t xml:space="preserve"> בטל.</w:t>
            </w:r>
          </w:p>
        </w:tc>
      </w:tr>
      <w:tr w:rsidR="000612A6" w14:paraId="22B890D8" w14:textId="77777777" w:rsidTr="009F4336">
        <w:trPr>
          <w:cantSplit/>
        </w:trPr>
        <w:tc>
          <w:tcPr>
            <w:tcW w:w="1871" w:type="dxa"/>
            <w:tcBorders>
              <w:top w:val="nil"/>
              <w:left w:val="nil"/>
              <w:bottom w:val="nil"/>
              <w:right w:val="nil"/>
            </w:tcBorders>
          </w:tcPr>
          <w:p w14:paraId="2666D192" w14:textId="1AC65841" w:rsidR="000612A6" w:rsidRDefault="000612A6" w:rsidP="000612A6">
            <w:pPr>
              <w:pStyle w:val="TableSideHeading"/>
              <w:ind w:right="0"/>
              <w:rPr>
                <w:sz w:val="26"/>
                <w:rtl/>
              </w:rPr>
            </w:pPr>
            <w:r>
              <w:rPr>
                <w:rFonts w:hint="cs"/>
                <w:sz w:val="26"/>
                <w:rtl/>
              </w:rPr>
              <w:t>תחילה בהדרגה</w:t>
            </w:r>
          </w:p>
        </w:tc>
        <w:tc>
          <w:tcPr>
            <w:tcW w:w="624" w:type="dxa"/>
            <w:tcBorders>
              <w:top w:val="nil"/>
              <w:left w:val="nil"/>
              <w:bottom w:val="nil"/>
              <w:right w:val="nil"/>
            </w:tcBorders>
          </w:tcPr>
          <w:p w14:paraId="51829D63" w14:textId="3DA9858C" w:rsidR="000612A6" w:rsidRDefault="008066B8" w:rsidP="009F4336">
            <w:pPr>
              <w:pStyle w:val="TableText"/>
              <w:ind w:right="0"/>
              <w:jc w:val="both"/>
              <w:rPr>
                <w:sz w:val="26"/>
                <w:rtl/>
              </w:rPr>
            </w:pPr>
            <w:r>
              <w:rPr>
                <w:rFonts w:hint="cs"/>
                <w:sz w:val="26"/>
                <w:rtl/>
              </w:rPr>
              <w:t>4.</w:t>
            </w:r>
          </w:p>
        </w:tc>
        <w:tc>
          <w:tcPr>
            <w:tcW w:w="7146" w:type="dxa"/>
            <w:gridSpan w:val="2"/>
            <w:tcBorders>
              <w:top w:val="nil"/>
              <w:left w:val="nil"/>
              <w:bottom w:val="nil"/>
              <w:right w:val="nil"/>
            </w:tcBorders>
          </w:tcPr>
          <w:p w14:paraId="1ADCC685" w14:textId="79C24676" w:rsidR="000612A6" w:rsidRDefault="000612A6" w:rsidP="000612A6">
            <w:pPr>
              <w:pStyle w:val="TableBlock"/>
              <w:rPr>
                <w:sz w:val="26"/>
                <w:rtl/>
              </w:rPr>
            </w:pPr>
            <w:r>
              <w:rPr>
                <w:rFonts w:hint="cs"/>
                <w:sz w:val="26"/>
                <w:rtl/>
              </w:rPr>
              <w:t>(א)</w:t>
            </w:r>
            <w:r>
              <w:rPr>
                <w:sz w:val="26"/>
                <w:rtl/>
              </w:rPr>
              <w:tab/>
            </w:r>
            <w:r>
              <w:rPr>
                <w:rFonts w:hint="cs"/>
                <w:sz w:val="26"/>
                <w:rtl/>
              </w:rPr>
              <w:t xml:space="preserve">תחילתו של חוק זה בתום שנה מיום פרסומו (להלן </w:t>
            </w:r>
            <w:r>
              <w:rPr>
                <w:rFonts w:hint="eastAsia"/>
                <w:sz w:val="26"/>
                <w:rtl/>
              </w:rPr>
              <w:t>–</w:t>
            </w:r>
            <w:r>
              <w:rPr>
                <w:rFonts w:hint="cs"/>
                <w:sz w:val="26"/>
                <w:rtl/>
              </w:rPr>
              <w:t xml:space="preserve"> יום התחילה).</w:t>
            </w:r>
          </w:p>
        </w:tc>
      </w:tr>
      <w:tr w:rsidR="000612A6" w14:paraId="37141009" w14:textId="77777777" w:rsidTr="009F4336">
        <w:trPr>
          <w:cantSplit/>
        </w:trPr>
        <w:tc>
          <w:tcPr>
            <w:tcW w:w="1871" w:type="dxa"/>
            <w:tcBorders>
              <w:top w:val="nil"/>
              <w:left w:val="nil"/>
              <w:bottom w:val="nil"/>
              <w:right w:val="nil"/>
            </w:tcBorders>
          </w:tcPr>
          <w:p w14:paraId="5F3A97D6" w14:textId="77777777" w:rsidR="000612A6" w:rsidRDefault="000612A6" w:rsidP="009F4336">
            <w:pPr>
              <w:pStyle w:val="TableSideHeading"/>
              <w:ind w:right="0"/>
              <w:rPr>
                <w:sz w:val="26"/>
                <w:rtl/>
              </w:rPr>
            </w:pPr>
          </w:p>
        </w:tc>
        <w:tc>
          <w:tcPr>
            <w:tcW w:w="624" w:type="dxa"/>
            <w:tcBorders>
              <w:top w:val="nil"/>
              <w:left w:val="nil"/>
              <w:bottom w:val="nil"/>
              <w:right w:val="nil"/>
            </w:tcBorders>
          </w:tcPr>
          <w:p w14:paraId="65DFE54D" w14:textId="77777777" w:rsidR="000612A6" w:rsidRDefault="000612A6" w:rsidP="009F4336">
            <w:pPr>
              <w:pStyle w:val="TableText"/>
              <w:ind w:right="0"/>
              <w:jc w:val="both"/>
              <w:rPr>
                <w:sz w:val="26"/>
                <w:rtl/>
              </w:rPr>
            </w:pPr>
          </w:p>
        </w:tc>
        <w:tc>
          <w:tcPr>
            <w:tcW w:w="7146" w:type="dxa"/>
            <w:gridSpan w:val="2"/>
            <w:tcBorders>
              <w:top w:val="nil"/>
              <w:left w:val="nil"/>
              <w:bottom w:val="nil"/>
              <w:right w:val="nil"/>
            </w:tcBorders>
          </w:tcPr>
          <w:p w14:paraId="596C9EC7" w14:textId="03649C8C" w:rsidR="000612A6" w:rsidRDefault="000612A6" w:rsidP="00741B5A">
            <w:pPr>
              <w:pStyle w:val="TableBlock"/>
              <w:rPr>
                <w:sz w:val="26"/>
                <w:rtl/>
              </w:rPr>
            </w:pPr>
            <w:r>
              <w:rPr>
                <w:rFonts w:hint="cs"/>
                <w:sz w:val="26"/>
                <w:rtl/>
              </w:rPr>
              <w:t>(ב)</w:t>
            </w:r>
            <w:r>
              <w:rPr>
                <w:sz w:val="26"/>
                <w:rtl/>
              </w:rPr>
              <w:tab/>
            </w:r>
            <w:r w:rsidR="00741B5A">
              <w:rPr>
                <w:rFonts w:hint="cs"/>
                <w:sz w:val="26"/>
                <w:rtl/>
              </w:rPr>
              <w:t xml:space="preserve">עד יום התחילה רשאי </w:t>
            </w:r>
            <w:r>
              <w:rPr>
                <w:rFonts w:hint="cs"/>
                <w:sz w:val="26"/>
                <w:rtl/>
              </w:rPr>
              <w:t>שר העבודה</w:t>
            </w:r>
            <w:r w:rsidR="008066B8">
              <w:rPr>
                <w:rFonts w:hint="cs"/>
                <w:sz w:val="26"/>
                <w:rtl/>
              </w:rPr>
              <w:t>,</w:t>
            </w:r>
            <w:r>
              <w:rPr>
                <w:rFonts w:hint="cs"/>
                <w:sz w:val="26"/>
                <w:rtl/>
              </w:rPr>
              <w:t xml:space="preserve"> הרווחה והשירותים החברתיים  לקבוע כי בתקופה של ארבע שנים מיום התחילה יהיה מספר שעות העבודה השבועיות לפי הוראות סעיפים 1 ו-4(א2) לחוק העיקרי, גבוה ממספר שעות העבודה השבועיות לפי הוראות הסעיפים האמורים כנוסחם לפי חוק זה </w:t>
            </w:r>
            <w:r w:rsidR="00741B5A">
              <w:rPr>
                <w:rFonts w:hint="cs"/>
                <w:sz w:val="26"/>
                <w:rtl/>
              </w:rPr>
              <w:t xml:space="preserve">ובלבד שמספרם לא יעלה על מספר שעות העבודה השבועיות לפי </w:t>
            </w:r>
            <w:r>
              <w:rPr>
                <w:rFonts w:hint="cs"/>
                <w:sz w:val="26"/>
                <w:rtl/>
              </w:rPr>
              <w:t>הוראות הסעיפים האמורים כנוסחם ערב יום התחילה</w:t>
            </w:r>
            <w:r w:rsidR="00741B5A">
              <w:rPr>
                <w:rFonts w:hint="cs"/>
                <w:sz w:val="26"/>
                <w:rtl/>
              </w:rPr>
              <w:t>; לא יקבעו תקנות לפי סעיף זה לאחר יום התחילה.</w:t>
            </w:r>
          </w:p>
        </w:tc>
      </w:tr>
    </w:tbl>
    <w:p w14:paraId="7F6961AE" w14:textId="77777777" w:rsidR="00E13C27" w:rsidRDefault="00E13C27" w:rsidP="0000131B">
      <w:pPr>
        <w:pStyle w:val="HeadDivreiHesber"/>
        <w:spacing w:before="0" w:after="0" w:line="240" w:lineRule="auto"/>
        <w:rPr>
          <w:rtl/>
        </w:rPr>
      </w:pPr>
    </w:p>
    <w:p w14:paraId="7F6961CA" w14:textId="77777777" w:rsidR="002D1EE3" w:rsidRDefault="002D1EE3" w:rsidP="002D1EE3">
      <w:pPr>
        <w:pStyle w:val="HeadDivreiHesber"/>
        <w:rPr>
          <w:rtl/>
        </w:rPr>
      </w:pPr>
      <w:r w:rsidRPr="0027450A">
        <w:rPr>
          <w:rFonts w:hint="cs"/>
          <w:rtl/>
        </w:rPr>
        <w:t>דברי הסבר</w:t>
      </w:r>
    </w:p>
    <w:p w14:paraId="4B5EC981" w14:textId="77777777" w:rsidR="00C25AAC" w:rsidRDefault="00C25AAC" w:rsidP="00C25AAC">
      <w:pPr>
        <w:pStyle w:val="Hesber"/>
        <w:rPr>
          <w:sz w:val="26"/>
          <w:rtl/>
        </w:rPr>
      </w:pPr>
      <w:r>
        <w:rPr>
          <w:rFonts w:hint="cs"/>
          <w:sz w:val="26"/>
          <w:rtl/>
        </w:rPr>
        <w:t xml:space="preserve">שבוע העבודה בישראל הוא מהארוכים בעולם, אולם למרות זאת, הפריון בישראל נמוך יחסית לעולם המערבי. מכאן עולה המסקנה שפריון עבודה גבוה, אינו בהכרח תלוי שעות עבודה ארוכות, ואולי אף נפגע מכך. </w:t>
      </w:r>
    </w:p>
    <w:p w14:paraId="0E6530B3" w14:textId="0312818F" w:rsidR="00C25AAC" w:rsidRDefault="00C25AAC" w:rsidP="008066B8">
      <w:pPr>
        <w:pStyle w:val="Hesber"/>
        <w:rPr>
          <w:sz w:val="26"/>
          <w:rtl/>
        </w:rPr>
      </w:pPr>
      <w:r>
        <w:rPr>
          <w:sz w:val="26"/>
          <w:rtl/>
        </w:rPr>
        <w:t xml:space="preserve">קיצור שבוע העבודה </w:t>
      </w:r>
      <w:r>
        <w:rPr>
          <w:rFonts w:hint="cs"/>
          <w:sz w:val="26"/>
          <w:rtl/>
        </w:rPr>
        <w:t>מ-</w:t>
      </w:r>
      <w:r w:rsidR="00AA196F">
        <w:rPr>
          <w:rFonts w:hint="cs"/>
          <w:sz w:val="26"/>
          <w:rtl/>
        </w:rPr>
        <w:t xml:space="preserve">45 </w:t>
      </w:r>
      <w:r>
        <w:rPr>
          <w:rFonts w:hint="cs"/>
          <w:sz w:val="26"/>
          <w:rtl/>
        </w:rPr>
        <w:t xml:space="preserve">שעות עבודה שבועיות (בהתאם לצו ההרחבה </w:t>
      </w:r>
      <w:r w:rsidR="008066B8">
        <w:rPr>
          <w:rFonts w:hint="cs"/>
          <w:sz w:val="26"/>
          <w:rtl/>
        </w:rPr>
        <w:t xml:space="preserve">החל </w:t>
      </w:r>
      <w:r>
        <w:rPr>
          <w:rFonts w:hint="cs"/>
          <w:sz w:val="26"/>
          <w:rtl/>
        </w:rPr>
        <w:t>על</w:t>
      </w:r>
      <w:r w:rsidR="008066B8">
        <w:rPr>
          <w:rFonts w:hint="cs"/>
          <w:sz w:val="26"/>
          <w:rtl/>
        </w:rPr>
        <w:t xml:space="preserve"> מרבית העובדים ב</w:t>
      </w:r>
      <w:r>
        <w:rPr>
          <w:rFonts w:hint="cs"/>
          <w:sz w:val="26"/>
          <w:rtl/>
        </w:rPr>
        <w:t>משק), ל</w:t>
      </w:r>
      <w:r>
        <w:rPr>
          <w:sz w:val="26"/>
          <w:rtl/>
        </w:rPr>
        <w:t>-</w:t>
      </w:r>
      <w:r>
        <w:rPr>
          <w:rFonts w:hint="cs"/>
          <w:sz w:val="26"/>
          <w:rtl/>
        </w:rPr>
        <w:t>37</w:t>
      </w:r>
      <w:r>
        <w:rPr>
          <w:sz w:val="26"/>
          <w:rtl/>
        </w:rPr>
        <w:t xml:space="preserve"> שעות </w:t>
      </w:r>
      <w:r>
        <w:rPr>
          <w:rFonts w:hint="cs"/>
          <w:sz w:val="26"/>
          <w:rtl/>
        </w:rPr>
        <w:t xml:space="preserve">עבודה שבועיות </w:t>
      </w:r>
      <w:r>
        <w:rPr>
          <w:sz w:val="26"/>
          <w:rtl/>
        </w:rPr>
        <w:t xml:space="preserve">הוא צעד חיוני </w:t>
      </w:r>
      <w:r>
        <w:rPr>
          <w:rFonts w:hint="cs"/>
          <w:sz w:val="26"/>
          <w:rtl/>
        </w:rPr>
        <w:t>ל</w:t>
      </w:r>
      <w:r>
        <w:rPr>
          <w:sz w:val="26"/>
          <w:rtl/>
        </w:rPr>
        <w:t xml:space="preserve">תנאי העבודה של ציבור השכירים בישראל. </w:t>
      </w:r>
      <w:r w:rsidR="008066B8">
        <w:rPr>
          <w:rFonts w:hint="cs"/>
          <w:sz w:val="26"/>
          <w:rtl/>
        </w:rPr>
        <w:t>החיים בישראל רוויים לחצים, ובן היתר,</w:t>
      </w:r>
      <w:r>
        <w:rPr>
          <w:rFonts w:hint="cs"/>
          <w:sz w:val="26"/>
          <w:rtl/>
        </w:rPr>
        <w:t xml:space="preserve"> עובדים ועובדות בישראל </w:t>
      </w:r>
      <w:r w:rsidR="008066B8">
        <w:rPr>
          <w:rFonts w:hint="cs"/>
          <w:sz w:val="26"/>
          <w:rtl/>
        </w:rPr>
        <w:t xml:space="preserve">מחויבים </w:t>
      </w:r>
      <w:r>
        <w:rPr>
          <w:rFonts w:hint="cs"/>
          <w:sz w:val="26"/>
          <w:rtl/>
        </w:rPr>
        <w:t>לימי</w:t>
      </w:r>
      <w:r w:rsidR="008066B8">
        <w:rPr>
          <w:rFonts w:hint="cs"/>
          <w:sz w:val="26"/>
          <w:rtl/>
        </w:rPr>
        <w:t>ם רבים של שירות</w:t>
      </w:r>
      <w:r>
        <w:rPr>
          <w:rFonts w:hint="cs"/>
          <w:sz w:val="26"/>
          <w:rtl/>
        </w:rPr>
        <w:t xml:space="preserve"> מילואים</w:t>
      </w:r>
      <w:r w:rsidR="008066B8">
        <w:rPr>
          <w:rFonts w:hint="cs"/>
          <w:sz w:val="26"/>
          <w:rtl/>
        </w:rPr>
        <w:t>.</w:t>
      </w:r>
      <w:r>
        <w:rPr>
          <w:rFonts w:hint="cs"/>
          <w:sz w:val="26"/>
          <w:rtl/>
        </w:rPr>
        <w:t xml:space="preserve"> </w:t>
      </w:r>
      <w:r w:rsidR="008066B8">
        <w:rPr>
          <w:rFonts w:hint="cs"/>
          <w:sz w:val="26"/>
          <w:rtl/>
        </w:rPr>
        <w:t xml:space="preserve">כמו כן, </w:t>
      </w:r>
      <w:r>
        <w:rPr>
          <w:rFonts w:hint="cs"/>
          <w:sz w:val="26"/>
          <w:rtl/>
        </w:rPr>
        <w:t xml:space="preserve">לשיעור לידות הגבוה במדינות המערב. בשל התנאים המיוחדים בישראל, על המדינה החובה לאפשר חיי משפחה תקינים הכוללים גידול של הילדות והילדים בצורה מתקבלת על הדעת. </w:t>
      </w:r>
      <w:r w:rsidR="008066B8">
        <w:rPr>
          <w:rFonts w:hint="cs"/>
          <w:sz w:val="26"/>
          <w:rtl/>
        </w:rPr>
        <w:t>כמו כן</w:t>
      </w:r>
      <w:r>
        <w:rPr>
          <w:rFonts w:hint="cs"/>
          <w:sz w:val="26"/>
          <w:rtl/>
        </w:rPr>
        <w:t xml:space="preserve">, נדרש איזון טוב יותר בין עבודה ופנאי על מנת לאזן את הלחצים </w:t>
      </w:r>
      <w:r w:rsidR="00323890">
        <w:rPr>
          <w:rFonts w:hint="cs"/>
          <w:sz w:val="26"/>
          <w:rtl/>
        </w:rPr>
        <w:t xml:space="preserve">המובנים </w:t>
      </w:r>
      <w:r>
        <w:rPr>
          <w:rFonts w:hint="cs"/>
          <w:sz w:val="26"/>
          <w:rtl/>
        </w:rPr>
        <w:t xml:space="preserve">הכרוכים בחיים במדינת ישראל. </w:t>
      </w:r>
    </w:p>
    <w:p w14:paraId="5B09FB39" w14:textId="77777777" w:rsidR="00C25AAC" w:rsidRDefault="00C25AAC" w:rsidP="00C25AAC">
      <w:pPr>
        <w:pStyle w:val="Hesber"/>
        <w:rPr>
          <w:sz w:val="26"/>
          <w:rtl/>
        </w:rPr>
      </w:pPr>
      <w:r>
        <w:rPr>
          <w:rFonts w:hint="cs"/>
          <w:sz w:val="26"/>
          <w:rtl/>
        </w:rPr>
        <w:t>קיצור שבוע העבודה יהווה</w:t>
      </w:r>
      <w:r>
        <w:rPr>
          <w:sz w:val="26"/>
          <w:rtl/>
        </w:rPr>
        <w:t xml:space="preserve"> גם תרומה חשובה למערכה לצמצום היקף האבטלה</w:t>
      </w:r>
      <w:r>
        <w:rPr>
          <w:rFonts w:hint="cs"/>
          <w:sz w:val="26"/>
          <w:rtl/>
        </w:rPr>
        <w:t xml:space="preserve"> ויפתח מקומות </w:t>
      </w:r>
      <w:r>
        <w:rPr>
          <w:sz w:val="26"/>
          <w:rtl/>
        </w:rPr>
        <w:t xml:space="preserve">עבודה </w:t>
      </w:r>
      <w:r>
        <w:rPr>
          <w:rFonts w:hint="cs"/>
          <w:sz w:val="26"/>
          <w:rtl/>
        </w:rPr>
        <w:t>ל</w:t>
      </w:r>
      <w:r>
        <w:rPr>
          <w:sz w:val="26"/>
          <w:rtl/>
        </w:rPr>
        <w:t>עובדות ועובדים נוספים.</w:t>
      </w:r>
    </w:p>
    <w:p w14:paraId="28F79C64" w14:textId="175C39E6" w:rsidR="00C25AAC" w:rsidRDefault="00C25AAC" w:rsidP="008066B8">
      <w:pPr>
        <w:pStyle w:val="Hesber"/>
        <w:rPr>
          <w:sz w:val="26"/>
          <w:rtl/>
        </w:rPr>
      </w:pPr>
      <w:r>
        <w:rPr>
          <w:sz w:val="26"/>
          <w:rtl/>
        </w:rPr>
        <w:t xml:space="preserve">הצעות חוק דומות בעיקרן הונחו על שולחן </w:t>
      </w:r>
      <w:r w:rsidR="008066B8">
        <w:rPr>
          <w:sz w:val="26"/>
          <w:rtl/>
        </w:rPr>
        <w:t>הכנסת השמונה-עשרה</w:t>
      </w:r>
      <w:r w:rsidR="008066B8">
        <w:rPr>
          <w:rFonts w:hint="cs"/>
          <w:sz w:val="26"/>
          <w:rtl/>
        </w:rPr>
        <w:t xml:space="preserve">, </w:t>
      </w:r>
      <w:r w:rsidR="008066B8">
        <w:rPr>
          <w:sz w:val="26"/>
          <w:rtl/>
        </w:rPr>
        <w:t xml:space="preserve">על שולחן הכנסת </w:t>
      </w:r>
      <w:r w:rsidR="008066B8">
        <w:rPr>
          <w:rFonts w:hint="cs"/>
          <w:sz w:val="26"/>
          <w:rtl/>
        </w:rPr>
        <w:t>התשע</w:t>
      </w:r>
      <w:r w:rsidR="008066B8">
        <w:rPr>
          <w:sz w:val="26"/>
          <w:rtl/>
        </w:rPr>
        <w:t xml:space="preserve">-עשרה </w:t>
      </w:r>
      <w:r w:rsidR="008066B8">
        <w:rPr>
          <w:rFonts w:hint="cs"/>
          <w:sz w:val="26"/>
          <w:rtl/>
        </w:rPr>
        <w:t xml:space="preserve">ועל שולחן הכנסת העשרים </w:t>
      </w:r>
      <w:r w:rsidRPr="005C535C">
        <w:rPr>
          <w:sz w:val="26"/>
          <w:rtl/>
        </w:rPr>
        <w:t>על ידי חבר הכנסת דב ח</w:t>
      </w:r>
      <w:r w:rsidR="008066B8">
        <w:rPr>
          <w:sz w:val="26"/>
          <w:rtl/>
        </w:rPr>
        <w:t>נין וקבוצת חברי הכנסת (פ/386/18</w:t>
      </w:r>
      <w:r w:rsidR="008066B8">
        <w:rPr>
          <w:rFonts w:hint="cs"/>
          <w:sz w:val="26"/>
          <w:rtl/>
        </w:rPr>
        <w:t xml:space="preserve">; </w:t>
      </w:r>
      <w:r w:rsidRPr="005C535C">
        <w:rPr>
          <w:sz w:val="26"/>
          <w:rtl/>
        </w:rPr>
        <w:t>פ/</w:t>
      </w:r>
      <w:r>
        <w:rPr>
          <w:rFonts w:hint="cs"/>
          <w:sz w:val="26"/>
          <w:rtl/>
        </w:rPr>
        <w:t>194</w:t>
      </w:r>
      <w:r w:rsidRPr="005C535C">
        <w:rPr>
          <w:sz w:val="26"/>
          <w:rtl/>
        </w:rPr>
        <w:t>/</w:t>
      </w:r>
      <w:r>
        <w:rPr>
          <w:rFonts w:hint="cs"/>
          <w:sz w:val="26"/>
          <w:rtl/>
        </w:rPr>
        <w:t>19</w:t>
      </w:r>
      <w:r w:rsidR="008066B8">
        <w:rPr>
          <w:rFonts w:hint="cs"/>
          <w:sz w:val="26"/>
          <w:rtl/>
        </w:rPr>
        <w:t xml:space="preserve">; </w:t>
      </w:r>
      <w:r w:rsidR="00323890">
        <w:rPr>
          <w:rFonts w:hint="cs"/>
          <w:sz w:val="26"/>
          <w:rtl/>
        </w:rPr>
        <w:t>פ/462/20)</w:t>
      </w:r>
      <w:r w:rsidRPr="005C535C">
        <w:rPr>
          <w:sz w:val="26"/>
          <w:rtl/>
        </w:rPr>
        <w:t>.</w:t>
      </w:r>
    </w:p>
    <w:p w14:paraId="3E376445" w14:textId="77777777" w:rsidR="00C25AAC" w:rsidRDefault="00C25AAC" w:rsidP="00C25AAC">
      <w:pPr>
        <w:pStyle w:val="Hesber"/>
        <w:rPr>
          <w:rtl/>
        </w:rPr>
      </w:pPr>
    </w:p>
    <w:p w14:paraId="0EC552B5" w14:textId="77777777" w:rsidR="008066B8" w:rsidRPr="00D73212" w:rsidRDefault="008066B8" w:rsidP="008066B8">
      <w:pPr>
        <w:pStyle w:val="Hesber"/>
        <w:rPr>
          <w:color w:val="auto"/>
          <w:rtl/>
          <w:lang w:eastAsia="en-US"/>
        </w:rPr>
      </w:pPr>
      <w:r w:rsidRPr="00D73212">
        <w:rPr>
          <w:color w:val="auto"/>
          <w:rtl/>
          <w:lang w:eastAsia="en-US"/>
        </w:rPr>
        <w:t>---------------------------------</w:t>
      </w:r>
    </w:p>
    <w:p w14:paraId="4302A566" w14:textId="77777777" w:rsidR="008066B8" w:rsidRPr="00D73212" w:rsidRDefault="008066B8" w:rsidP="008066B8">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57900402" w14:textId="77777777" w:rsidR="008066B8" w:rsidRPr="00D73212" w:rsidRDefault="008066B8" w:rsidP="008066B8">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4AF6A548" w14:textId="77777777" w:rsidR="008066B8" w:rsidRPr="00317312" w:rsidRDefault="008066B8" w:rsidP="008066B8">
      <w:pPr>
        <w:pStyle w:val="Hesber"/>
      </w:pPr>
      <w:r>
        <w:rPr>
          <w:rFonts w:hint="cs"/>
          <w:color w:val="auto"/>
          <w:rtl/>
          <w:lang w:eastAsia="en-US"/>
        </w:rPr>
        <w:t>י"ב באייר</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ז</w:t>
      </w:r>
      <w:r w:rsidRPr="00D73212">
        <w:rPr>
          <w:color w:val="auto"/>
          <w:rtl/>
          <w:lang w:eastAsia="en-US"/>
        </w:rPr>
        <w:t xml:space="preserve"> – </w:t>
      </w:r>
      <w:r>
        <w:rPr>
          <w:rFonts w:hint="cs"/>
          <w:color w:val="auto"/>
          <w:rtl/>
          <w:lang w:eastAsia="en-US"/>
        </w:rPr>
        <w:t>8.5</w:t>
      </w:r>
      <w:r w:rsidRPr="00D73212">
        <w:rPr>
          <w:color w:val="auto"/>
          <w:rtl/>
          <w:lang w:eastAsia="en-US"/>
        </w:rPr>
        <w:t>.</w:t>
      </w:r>
      <w:r>
        <w:rPr>
          <w:rFonts w:hint="cs"/>
          <w:color w:val="auto"/>
          <w:rtl/>
          <w:lang w:eastAsia="en-US"/>
        </w:rPr>
        <w:t>17</w:t>
      </w:r>
    </w:p>
    <w:p w14:paraId="4825FADB" w14:textId="4E537B46" w:rsidR="008066B8" w:rsidRPr="008066B8" w:rsidRDefault="008066B8" w:rsidP="00C25AAC">
      <w:pPr>
        <w:pStyle w:val="Hesber"/>
        <w:rPr>
          <w:rtl/>
        </w:rPr>
      </w:pPr>
    </w:p>
    <w:p w14:paraId="7941046B" w14:textId="77777777" w:rsidR="008066B8" w:rsidRDefault="008066B8" w:rsidP="00C25AAC">
      <w:pPr>
        <w:pStyle w:val="Hesber"/>
        <w:rPr>
          <w:rtl/>
        </w:rPr>
      </w:pPr>
    </w:p>
    <w:p w14:paraId="7F6961CB" w14:textId="125EC64F" w:rsidR="00E13C27" w:rsidRDefault="00E13C27" w:rsidP="00E13C27">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961D3" w14:textId="77777777" w:rsidR="00C23B1A" w:rsidRDefault="00C23B1A">
      <w:r>
        <w:separator/>
      </w:r>
    </w:p>
  </w:endnote>
  <w:endnote w:type="continuationSeparator" w:id="0">
    <w:p w14:paraId="7F6961D4" w14:textId="77777777" w:rsidR="00C23B1A" w:rsidRDefault="00C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1A0623" w:rsidRDefault="001A06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0D2319">
      <w:rPr>
        <w:rStyle w:val="ab"/>
        <w:noProof/>
        <w:rtl/>
      </w:rPr>
      <w:t>2</w:t>
    </w:r>
    <w:r>
      <w:rPr>
        <w:rStyle w:val="ab"/>
        <w:rtl/>
      </w:rPr>
      <w:fldChar w:fldCharType="end"/>
    </w:r>
  </w:p>
  <w:p w14:paraId="7F6961D8" w14:textId="77777777" w:rsidR="001A0623" w:rsidRDefault="001A06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961D0" w14:textId="77777777" w:rsidR="00C23B1A" w:rsidRDefault="00C23B1A">
      <w:r>
        <w:separator/>
      </w:r>
    </w:p>
  </w:footnote>
  <w:footnote w:type="continuationSeparator" w:id="0">
    <w:p w14:paraId="7F6961D1" w14:textId="77777777" w:rsidR="00C23B1A" w:rsidRDefault="00C23B1A">
      <w:r>
        <w:continuationSeparator/>
      </w:r>
    </w:p>
  </w:footnote>
  <w:footnote w:type="continuationNotice" w:id="1">
    <w:p w14:paraId="7F6961D2" w14:textId="77777777" w:rsidR="00C23B1A" w:rsidRDefault="00C23B1A"/>
  </w:footnote>
  <w:footnote w:id="2">
    <w:p w14:paraId="527FEF10" w14:textId="5683658F" w:rsidR="00C25AAC" w:rsidRDefault="00C25AAC" w:rsidP="000612A6">
      <w:pPr>
        <w:pStyle w:val="a4"/>
      </w:pPr>
      <w:r>
        <w:rPr>
          <w:rStyle w:val="a6"/>
        </w:rPr>
        <w:footnoteRef/>
      </w:r>
      <w:r>
        <w:rPr>
          <w:rtl/>
        </w:rPr>
        <w:t xml:space="preserve"> ס"ח התשי"א, עמ' 204.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12A6"/>
    <w:rsid w:val="0007681A"/>
    <w:rsid w:val="000A542E"/>
    <w:rsid w:val="000D2319"/>
    <w:rsid w:val="00102B6B"/>
    <w:rsid w:val="001052D4"/>
    <w:rsid w:val="0010644B"/>
    <w:rsid w:val="001207F8"/>
    <w:rsid w:val="00121924"/>
    <w:rsid w:val="001279A8"/>
    <w:rsid w:val="0014195F"/>
    <w:rsid w:val="00152609"/>
    <w:rsid w:val="00153E1B"/>
    <w:rsid w:val="001A0623"/>
    <w:rsid w:val="001B67FB"/>
    <w:rsid w:val="001C23B0"/>
    <w:rsid w:val="001F7E5A"/>
    <w:rsid w:val="00203A7F"/>
    <w:rsid w:val="002200A1"/>
    <w:rsid w:val="002362BF"/>
    <w:rsid w:val="00241B97"/>
    <w:rsid w:val="00246756"/>
    <w:rsid w:val="00251E58"/>
    <w:rsid w:val="00254605"/>
    <w:rsid w:val="00263AF4"/>
    <w:rsid w:val="002728B4"/>
    <w:rsid w:val="0027600C"/>
    <w:rsid w:val="00292712"/>
    <w:rsid w:val="002A487D"/>
    <w:rsid w:val="002C2E29"/>
    <w:rsid w:val="002D1EE3"/>
    <w:rsid w:val="002F1D80"/>
    <w:rsid w:val="003232A2"/>
    <w:rsid w:val="00323890"/>
    <w:rsid w:val="00325C14"/>
    <w:rsid w:val="003710F6"/>
    <w:rsid w:val="00386E88"/>
    <w:rsid w:val="00396585"/>
    <w:rsid w:val="003D74A0"/>
    <w:rsid w:val="004033D8"/>
    <w:rsid w:val="004073F0"/>
    <w:rsid w:val="00412A7D"/>
    <w:rsid w:val="00416B4D"/>
    <w:rsid w:val="00417CFC"/>
    <w:rsid w:val="004B24ED"/>
    <w:rsid w:val="004D2D82"/>
    <w:rsid w:val="004D3876"/>
    <w:rsid w:val="004E4552"/>
    <w:rsid w:val="00553C9D"/>
    <w:rsid w:val="00562A66"/>
    <w:rsid w:val="005B064E"/>
    <w:rsid w:val="005D51AE"/>
    <w:rsid w:val="00615AAA"/>
    <w:rsid w:val="0062674B"/>
    <w:rsid w:val="006363B2"/>
    <w:rsid w:val="00644940"/>
    <w:rsid w:val="006818A9"/>
    <w:rsid w:val="006A2D81"/>
    <w:rsid w:val="006C1D0D"/>
    <w:rsid w:val="0070601E"/>
    <w:rsid w:val="00712C72"/>
    <w:rsid w:val="00735FE9"/>
    <w:rsid w:val="00741B5A"/>
    <w:rsid w:val="00763CAA"/>
    <w:rsid w:val="00765F66"/>
    <w:rsid w:val="007C3FA6"/>
    <w:rsid w:val="007D585A"/>
    <w:rsid w:val="007D5A12"/>
    <w:rsid w:val="007E59F9"/>
    <w:rsid w:val="008066B8"/>
    <w:rsid w:val="00810BCD"/>
    <w:rsid w:val="00812C98"/>
    <w:rsid w:val="00814D92"/>
    <w:rsid w:val="0083181D"/>
    <w:rsid w:val="00874BBC"/>
    <w:rsid w:val="00892135"/>
    <w:rsid w:val="00895449"/>
    <w:rsid w:val="00897879"/>
    <w:rsid w:val="008A6870"/>
    <w:rsid w:val="008C2DDC"/>
    <w:rsid w:val="008C7516"/>
    <w:rsid w:val="008E6EC7"/>
    <w:rsid w:val="008F0D63"/>
    <w:rsid w:val="008F2C35"/>
    <w:rsid w:val="008F6665"/>
    <w:rsid w:val="0091204F"/>
    <w:rsid w:val="009203DB"/>
    <w:rsid w:val="00923CD4"/>
    <w:rsid w:val="00943386"/>
    <w:rsid w:val="009456B6"/>
    <w:rsid w:val="00957589"/>
    <w:rsid w:val="00966D06"/>
    <w:rsid w:val="00982412"/>
    <w:rsid w:val="00983A8D"/>
    <w:rsid w:val="009A7257"/>
    <w:rsid w:val="009D6E0A"/>
    <w:rsid w:val="00A14672"/>
    <w:rsid w:val="00A26BD6"/>
    <w:rsid w:val="00A443CF"/>
    <w:rsid w:val="00A6611D"/>
    <w:rsid w:val="00A82CB7"/>
    <w:rsid w:val="00A83913"/>
    <w:rsid w:val="00AA196F"/>
    <w:rsid w:val="00AA2F03"/>
    <w:rsid w:val="00AC36F7"/>
    <w:rsid w:val="00AC63A4"/>
    <w:rsid w:val="00AD239E"/>
    <w:rsid w:val="00B10265"/>
    <w:rsid w:val="00B21211"/>
    <w:rsid w:val="00B35784"/>
    <w:rsid w:val="00B733A7"/>
    <w:rsid w:val="00B975AD"/>
    <w:rsid w:val="00BB74BF"/>
    <w:rsid w:val="00BC45FB"/>
    <w:rsid w:val="00BF148D"/>
    <w:rsid w:val="00C23B1A"/>
    <w:rsid w:val="00C25AAC"/>
    <w:rsid w:val="00C310EB"/>
    <w:rsid w:val="00C9176A"/>
    <w:rsid w:val="00CA4E40"/>
    <w:rsid w:val="00CF1AA2"/>
    <w:rsid w:val="00D63620"/>
    <w:rsid w:val="00D83E2F"/>
    <w:rsid w:val="00D8410D"/>
    <w:rsid w:val="00D867D7"/>
    <w:rsid w:val="00DB7060"/>
    <w:rsid w:val="00DE3153"/>
    <w:rsid w:val="00E06736"/>
    <w:rsid w:val="00E13C27"/>
    <w:rsid w:val="00E33BBD"/>
    <w:rsid w:val="00E45103"/>
    <w:rsid w:val="00E665B9"/>
    <w:rsid w:val="00EA01E6"/>
    <w:rsid w:val="00EA3DE8"/>
    <w:rsid w:val="00EA458F"/>
    <w:rsid w:val="00EA758F"/>
    <w:rsid w:val="00ED4A6F"/>
    <w:rsid w:val="00EF3A3A"/>
    <w:rsid w:val="00F628D6"/>
    <w:rsid w:val="00F65E10"/>
    <w:rsid w:val="00F67051"/>
    <w:rsid w:val="00FA5E88"/>
    <w:rsid w:val="00FA6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2ECAD8F7-B42C-4A85-A482-80E13495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rsid w:val="000612A6"/>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link w:val="a4"/>
    <w:uiPriority w:val="99"/>
    <w:rsid w:val="000612A6"/>
    <w:rPr>
      <w:rFonts w:ascii="Arial" w:eastAsia="Arial Unicode MS" w:hAnsi="Arial" w:cs="David"/>
      <w:snapToGrid w:val="0"/>
      <w:color w:val="000000"/>
      <w:sz w:val="14"/>
      <w:lang w:eastAsia="ja-JP"/>
    </w:rPr>
  </w:style>
  <w:style w:type="character" w:styleId="ae">
    <w:name w:val="annotation reference"/>
    <w:basedOn w:val="a0"/>
    <w:semiHidden/>
    <w:unhideWhenUsed/>
    <w:rsid w:val="00A83913"/>
    <w:rPr>
      <w:sz w:val="16"/>
      <w:szCs w:val="16"/>
    </w:rPr>
  </w:style>
  <w:style w:type="paragraph" w:styleId="af">
    <w:name w:val="annotation text"/>
    <w:basedOn w:val="a"/>
    <w:link w:val="af0"/>
    <w:semiHidden/>
    <w:unhideWhenUsed/>
    <w:rsid w:val="00A83913"/>
    <w:pPr>
      <w:spacing w:line="240" w:lineRule="auto"/>
    </w:pPr>
    <w:rPr>
      <w:sz w:val="20"/>
      <w:szCs w:val="20"/>
    </w:rPr>
  </w:style>
  <w:style w:type="character" w:customStyle="1" w:styleId="af0">
    <w:name w:val="טקסט הערה תו"/>
    <w:basedOn w:val="a0"/>
    <w:link w:val="af"/>
    <w:semiHidden/>
    <w:rsid w:val="00A83913"/>
    <w:rPr>
      <w:rFonts w:ascii="Hadasa Roso SL" w:hAnsi="Hadasa Roso SL" w:cs="Hadasa Roso SL"/>
      <w:color w:val="000000"/>
      <w:spacing w:val="1"/>
      <w:lang w:eastAsia="ja-JP"/>
    </w:rPr>
  </w:style>
  <w:style w:type="paragraph" w:styleId="af1">
    <w:name w:val="annotation subject"/>
    <w:basedOn w:val="af"/>
    <w:next w:val="af"/>
    <w:link w:val="af2"/>
    <w:semiHidden/>
    <w:unhideWhenUsed/>
    <w:rsid w:val="00A83913"/>
    <w:rPr>
      <w:b/>
      <w:bCs/>
    </w:rPr>
  </w:style>
  <w:style w:type="character" w:customStyle="1" w:styleId="af2">
    <w:name w:val="נושא הערה תו"/>
    <w:basedOn w:val="af0"/>
    <w:link w:val="af1"/>
    <w:semiHidden/>
    <w:rsid w:val="00A83913"/>
    <w:rPr>
      <w:rFonts w:ascii="Hadasa Roso SL" w:hAnsi="Hadasa Roso SL" w:cs="Hadasa Roso SL"/>
      <w:b/>
      <w:bCs/>
      <w:color w:val="000000"/>
      <w:spacing w:val="1"/>
      <w:lang w:eastAsia="ja-JP"/>
    </w:rPr>
  </w:style>
  <w:style w:type="character" w:customStyle="1" w:styleId="default">
    <w:name w:val="default"/>
    <w:basedOn w:val="a0"/>
    <w:rsid w:val="00BB74BF"/>
    <w:rPr>
      <w:rFonts w:ascii="Times New Roman" w:hAnsi="Times New Roman" w:cs="Times New Roman"/>
      <w:sz w:val="26"/>
      <w:szCs w:val="26"/>
    </w:rPr>
  </w:style>
  <w:style w:type="paragraph" w:styleId="af3">
    <w:name w:val="Revision"/>
    <w:hidden/>
    <w:uiPriority w:val="99"/>
    <w:semiHidden/>
    <w:rsid w:val="00BB74BF"/>
    <w:rPr>
      <w:rFonts w:ascii="Hadasa Roso SL"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45BD-27CC-4108-949D-980EBE4CF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00A1254A-480C-4E48-9F0B-76561697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399</Words>
  <Characters>2000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אילת וולברג</cp:lastModifiedBy>
  <cp:revision>14</cp:revision>
  <cp:lastPrinted>2017-05-01T08:57:00Z</cp:lastPrinted>
  <dcterms:created xsi:type="dcterms:W3CDTF">2015-03-26T08:06:00Z</dcterms:created>
  <dcterms:modified xsi:type="dcterms:W3CDTF">2017-05-01T08:57:00Z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564138</vt:r8>
  </property>
</Properties>
</file>