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2008124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34DB4103" w14:textId="3B6129BF" w:rsidR="00904591" w:rsidRPr="00904591" w:rsidRDefault="008F6665" w:rsidP="001E50CB">
      <w:pPr>
        <w:pStyle w:val="David"/>
        <w:spacing w:line="360" w:lineRule="auto"/>
        <w:ind w:left="3544"/>
        <w:rPr>
          <w:sz w:val="4"/>
          <w:szCs w:val="4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בצלאל סמוטריץ'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מכלוף מיקי זוהר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דוד ביטן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יואב קיש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דוד אמסלם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יצחק וקנין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שולי מועלם-רפאלי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מרדכי יוגב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יואב בן צור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מנחם אליעזר מוזס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יגאל גואטה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אלי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אמיר אוחנה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שרן השכל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אורן אסף חזן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נורית קורן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רוברט אילטוב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חמד עמאר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יוליה מלינובסקי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ניסן סלומינסקי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מרגי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ענת ברקו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נגוסה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נאוה בוקר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דיכטר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  <w:r w:rsidR="00266D86">
        <w:t>____</w:t>
      </w:r>
      <w:r w:rsidR="00E374F2">
        <w:t>__</w:t>
      </w:r>
      <w:r w:rsidR="00266D86"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פ/3667/20</w:t>
      </w:r>
      <w:bookmarkEnd w:id="6"/>
    </w:p>
    <w:p w14:paraId="7F6961AC" w14:textId="77777777" w:rsidR="00E13C27" w:rsidRDefault="00E13C27" w:rsidP="001E50CB">
      <w:pPr>
        <w:spacing w:before="0" w:line="24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1E50CB">
      <w:pPr>
        <w:pStyle w:val="HeadHatzaotHok"/>
        <w:spacing w:before="0" w:line="240" w:lineRule="auto"/>
        <w:rPr>
          <w:rtl/>
        </w:rPr>
      </w:pPr>
      <w:bookmarkStart w:id="7" w:name="LGS_Subject"/>
      <w:r>
        <w:rPr>
          <w:rFonts w:hint="cs"/>
          <w:rtl/>
        </w:rPr>
        <w:t>הצעת חוק לתיקון פקודת מס הכנסה (מוסד הפועל לטובת מדינת ישראל), התשע"ז–2017</w:t>
      </w:r>
      <w:bookmarkEnd w:id="7"/>
    </w:p>
    <w:p w14:paraId="7F6961AE" w14:textId="77777777" w:rsidR="00E13C27" w:rsidRDefault="00E13C27" w:rsidP="001E50CB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Ind w:w="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7146"/>
      </w:tblGrid>
      <w:tr w:rsidR="001A638D" w:rsidRPr="001A638D" w14:paraId="27DF468E" w14:textId="77777777" w:rsidTr="00E241A2">
        <w:trPr>
          <w:cantSplit/>
          <w:trHeight w:val="49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6068DA" w14:textId="5D0812B1" w:rsidR="001A638D" w:rsidRPr="001A638D" w:rsidRDefault="001A638D" w:rsidP="00E241A2">
            <w:pPr>
              <w:pStyle w:val="TableSideHeading"/>
              <w:keepLines w:val="0"/>
              <w:rPr>
                <w:sz w:val="26"/>
              </w:rPr>
            </w:pPr>
            <w:r w:rsidRPr="001A638D">
              <w:rPr>
                <w:sz w:val="26"/>
                <w:rtl/>
              </w:rPr>
              <w:t>תיקון סעיף 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A31729" w14:textId="4105F031" w:rsidR="001A638D" w:rsidRPr="001A638D" w:rsidRDefault="001A638D" w:rsidP="00E241A2">
            <w:pPr>
              <w:pStyle w:val="TableText"/>
              <w:keepLines w:val="0"/>
              <w:rPr>
                <w:sz w:val="26"/>
              </w:rPr>
            </w:pPr>
            <w:r w:rsidRPr="001A638D">
              <w:rPr>
                <w:rFonts w:hint="cs"/>
                <w:sz w:val="26"/>
                <w:rtl/>
              </w:rPr>
              <w:t>1.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7ABC60EC" w14:textId="7285DCA8" w:rsidR="001A638D" w:rsidRPr="001A638D" w:rsidRDefault="001A638D" w:rsidP="00023FAF">
            <w:pPr>
              <w:pStyle w:val="TableBlock"/>
              <w:keepLines w:val="0"/>
              <w:rPr>
                <w:sz w:val="26"/>
              </w:rPr>
            </w:pPr>
            <w:r w:rsidRPr="001A638D">
              <w:rPr>
                <w:sz w:val="26"/>
                <w:rtl/>
              </w:rPr>
              <w:t>בפקודת מס הכנסה</w:t>
            </w:r>
            <w:r w:rsidRPr="001A638D">
              <w:rPr>
                <w:rStyle w:val="a6"/>
                <w:sz w:val="26"/>
                <w:rtl/>
              </w:rPr>
              <w:footnoteReference w:id="2"/>
            </w:r>
            <w:r w:rsidR="00023FAF">
              <w:rPr>
                <w:sz w:val="26"/>
                <w:rtl/>
              </w:rPr>
              <w:t>, בסעיף 9(2)</w:t>
            </w:r>
            <w:r w:rsidR="00023FAF">
              <w:rPr>
                <w:rFonts w:hint="cs"/>
                <w:sz w:val="26"/>
                <w:rtl/>
              </w:rPr>
              <w:t xml:space="preserve">(ב) </w:t>
            </w:r>
            <w:r w:rsidR="00023FAF">
              <w:rPr>
                <w:rFonts w:hint="eastAsia"/>
                <w:sz w:val="26"/>
                <w:rtl/>
              </w:rPr>
              <w:t>–</w:t>
            </w:r>
          </w:p>
        </w:tc>
      </w:tr>
      <w:tr w:rsidR="001A638D" w:rsidRPr="001A638D" w14:paraId="365ACF7A" w14:textId="77777777" w:rsidTr="00E241A2">
        <w:trPr>
          <w:cantSplit/>
          <w:trHeight w:val="6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A28323" w14:textId="77777777" w:rsidR="001A638D" w:rsidRPr="001A638D" w:rsidRDefault="001A638D" w:rsidP="00E241A2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8DAF7A" w14:textId="4EB641C5" w:rsidR="001A638D" w:rsidRPr="001A638D" w:rsidRDefault="001A638D" w:rsidP="00E241A2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A91CC64" w14:textId="6A60AB48" w:rsidR="001A638D" w:rsidRPr="001A638D" w:rsidRDefault="00023FAF" w:rsidP="00023FAF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="001A638D" w:rsidRPr="001A638D">
              <w:rPr>
                <w:rFonts w:hint="cs"/>
                <w:sz w:val="26"/>
                <w:rtl/>
              </w:rPr>
              <w:t>בהגדרה "מוסד ציבורי"</w:t>
            </w:r>
            <w:r>
              <w:rPr>
                <w:rFonts w:hint="cs"/>
                <w:sz w:val="26"/>
                <w:rtl/>
              </w:rPr>
              <w:t>,</w:t>
            </w:r>
            <w:r w:rsidR="001A638D" w:rsidRPr="001A638D">
              <w:rPr>
                <w:rFonts w:hint="cs"/>
                <w:sz w:val="26"/>
                <w:rtl/>
              </w:rPr>
              <w:t xml:space="preserve"> אחרי "למטרה ציבורית" </w:t>
            </w:r>
            <w:r>
              <w:rPr>
                <w:rFonts w:hint="cs"/>
                <w:sz w:val="26"/>
                <w:rtl/>
              </w:rPr>
              <w:t>יבוא</w:t>
            </w:r>
            <w:r w:rsidR="001A638D" w:rsidRPr="001A638D">
              <w:rPr>
                <w:rFonts w:hint="cs"/>
                <w:sz w:val="26"/>
                <w:rtl/>
              </w:rPr>
              <w:t xml:space="preserve"> "</w:t>
            </w:r>
            <w:r w:rsidR="001E50CB">
              <w:rPr>
                <w:rFonts w:hint="cs"/>
                <w:sz w:val="26"/>
                <w:rtl/>
              </w:rPr>
              <w:t xml:space="preserve">ובלבד שהמוסד הציבורי אינו פועל </w:t>
            </w:r>
            <w:r w:rsidR="001A638D" w:rsidRPr="001A638D">
              <w:rPr>
                <w:rFonts w:hint="cs"/>
                <w:sz w:val="26"/>
                <w:rtl/>
              </w:rPr>
              <w:t>נגד מדינת ישראל בעולם</w:t>
            </w:r>
            <w:r>
              <w:rPr>
                <w:rFonts w:hint="cs"/>
                <w:sz w:val="26"/>
                <w:rtl/>
              </w:rPr>
              <w:t>;</w:t>
            </w:r>
            <w:r w:rsidR="001A638D" w:rsidRPr="001A638D">
              <w:rPr>
                <w:rFonts w:hint="cs"/>
                <w:sz w:val="26"/>
                <w:rtl/>
              </w:rPr>
              <w:t xml:space="preserve"> לעניין זה  יראו מוסד ציבורי המפרסם פרסומים המאשימים את מדינת ישראל בביצוע פשעי מלחמה וכן מוסד ציבורי המשתתף בקריאה לחרם על מדינת ישראל או מי מאזרחיה כמ</w:t>
            </w:r>
            <w:r w:rsidR="001E50CB">
              <w:rPr>
                <w:rFonts w:hint="cs"/>
                <w:sz w:val="26"/>
                <w:rtl/>
              </w:rPr>
              <w:t xml:space="preserve">וסד ציבורי הפועל </w:t>
            </w:r>
            <w:r w:rsidR="001A638D" w:rsidRPr="001A638D">
              <w:rPr>
                <w:rFonts w:hint="cs"/>
                <w:sz w:val="26"/>
                <w:rtl/>
              </w:rPr>
              <w:t>נגד מדינת ישראל בעולם";</w:t>
            </w:r>
          </w:p>
        </w:tc>
      </w:tr>
      <w:tr w:rsidR="001A638D" w:rsidRPr="001A638D" w14:paraId="7DFDCCF4" w14:textId="77777777" w:rsidTr="00E241A2">
        <w:trPr>
          <w:cantSplit/>
          <w:trHeight w:val="6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D6492B" w14:textId="77777777" w:rsidR="001A638D" w:rsidRPr="001A638D" w:rsidRDefault="001A638D" w:rsidP="00E241A2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C1EC42" w14:textId="548800D7" w:rsidR="001A638D" w:rsidRPr="001A638D" w:rsidRDefault="001A638D" w:rsidP="00E241A2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19918090" w14:textId="0E0B8A42" w:rsidR="001A638D" w:rsidRPr="001A638D" w:rsidRDefault="00023FAF" w:rsidP="002A3AC8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="001A638D" w:rsidRPr="001A638D">
              <w:rPr>
                <w:sz w:val="26"/>
                <w:rtl/>
              </w:rPr>
              <w:t>בהגדרה "מטרה ציבורית", אחרי "</w:t>
            </w:r>
            <w:r w:rsidR="001A638D" w:rsidRPr="001A638D">
              <w:rPr>
                <w:rFonts w:hint="cs"/>
                <w:sz w:val="26"/>
                <w:rtl/>
              </w:rPr>
              <w:t>כמטרה ציבורית"</w:t>
            </w:r>
            <w:r w:rsidR="001A638D" w:rsidRPr="001A638D"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יבוא</w:t>
            </w:r>
            <w:r w:rsidR="001A638D" w:rsidRPr="001A638D">
              <w:rPr>
                <w:rFonts w:hint="cs"/>
                <w:sz w:val="26"/>
                <w:rtl/>
              </w:rPr>
              <w:t xml:space="preserve"> </w:t>
            </w:r>
            <w:r w:rsidR="001A638D" w:rsidRPr="001A638D">
              <w:rPr>
                <w:sz w:val="26"/>
                <w:rtl/>
              </w:rPr>
              <w:t>"</w:t>
            </w:r>
            <w:r w:rsidR="001A638D" w:rsidRPr="001A638D">
              <w:rPr>
                <w:rFonts w:hint="cs"/>
                <w:sz w:val="26"/>
                <w:rtl/>
              </w:rPr>
              <w:t xml:space="preserve">והכל בלבד שהיא </w:t>
            </w:r>
            <w:r w:rsidR="002A3AC8">
              <w:rPr>
                <w:rFonts w:hint="cs"/>
                <w:sz w:val="26"/>
                <w:rtl/>
              </w:rPr>
              <w:t>בזיקה</w:t>
            </w:r>
            <w:r w:rsidR="002A3AC8" w:rsidRPr="001A638D">
              <w:rPr>
                <w:rFonts w:hint="cs"/>
                <w:sz w:val="26"/>
                <w:rtl/>
              </w:rPr>
              <w:t xml:space="preserve"> </w:t>
            </w:r>
            <w:r w:rsidR="002A3AC8">
              <w:rPr>
                <w:rFonts w:hint="cs"/>
                <w:sz w:val="26"/>
                <w:rtl/>
              </w:rPr>
              <w:t>ישירה ל</w:t>
            </w:r>
            <w:r w:rsidR="001A638D" w:rsidRPr="001A638D">
              <w:rPr>
                <w:rFonts w:hint="cs"/>
                <w:sz w:val="26"/>
                <w:rtl/>
              </w:rPr>
              <w:t>אזרחי מדינת ישראל או יהדות התפוצות;</w:t>
            </w:r>
            <w:r>
              <w:rPr>
                <w:rFonts w:hint="cs"/>
                <w:sz w:val="26"/>
                <w:rtl/>
              </w:rPr>
              <w:t>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07367C0B" w14:textId="4F7892D1" w:rsidR="001A638D" w:rsidRPr="001A638D" w:rsidRDefault="001A638D" w:rsidP="001A638D">
      <w:pPr>
        <w:pStyle w:val="Hesber"/>
        <w:rPr>
          <w:sz w:val="26"/>
          <w:rtl/>
        </w:rPr>
      </w:pPr>
      <w:r w:rsidRPr="001A638D">
        <w:rPr>
          <w:sz w:val="26"/>
          <w:rtl/>
        </w:rPr>
        <w:t>סעיף 46(א) לפקודת מס הכנסה (להלן – הפקודה) קובע הכרה לצ</w:t>
      </w:r>
      <w:r w:rsidR="001E50CB">
        <w:rPr>
          <w:rFonts w:hint="cs"/>
          <w:sz w:val="26"/>
          <w:rtl/>
        </w:rPr>
        <w:t>ו</w:t>
      </w:r>
      <w:r w:rsidRPr="001A638D">
        <w:rPr>
          <w:sz w:val="26"/>
          <w:rtl/>
        </w:rPr>
        <w:t xml:space="preserve">רכי מס בתרומות הניתנות למוסדות ציבוריים. משמעות ההכרה היא מתן זיכוי בשיעור של עד 35% מגובה התרומה בתשלומי המס שמשלם התורם על הכנסתו, בכפוף לסייגים ולתקרות הזיכוי הקבועים בפקודה. </w:t>
      </w:r>
    </w:p>
    <w:p w14:paraId="50415403" w14:textId="77777777" w:rsidR="001A638D" w:rsidRPr="001A638D" w:rsidRDefault="001A638D" w:rsidP="001A638D">
      <w:pPr>
        <w:pStyle w:val="Hesber"/>
        <w:rPr>
          <w:sz w:val="26"/>
          <w:rtl/>
        </w:rPr>
      </w:pPr>
      <w:r w:rsidRPr="001A638D">
        <w:rPr>
          <w:sz w:val="26"/>
          <w:rtl/>
        </w:rPr>
        <w:t>מוסד ציבורי מוגדר בסעיף 9(2) לפקודה כ"חבר בני אדם...המקיימים ופועלים למטרה ציבורית..."</w:t>
      </w:r>
      <w:r w:rsidRPr="001A638D">
        <w:rPr>
          <w:rFonts w:hint="cs"/>
          <w:sz w:val="26"/>
          <w:rtl/>
        </w:rPr>
        <w:t>.</w:t>
      </w:r>
    </w:p>
    <w:p w14:paraId="7540E2C2" w14:textId="77777777" w:rsidR="001A638D" w:rsidRPr="001A638D" w:rsidRDefault="001A638D" w:rsidP="001A638D">
      <w:pPr>
        <w:pStyle w:val="Hesber"/>
        <w:rPr>
          <w:sz w:val="26"/>
          <w:rtl/>
        </w:rPr>
      </w:pPr>
      <w:r w:rsidRPr="001A638D">
        <w:rPr>
          <w:sz w:val="26"/>
          <w:rtl/>
        </w:rPr>
        <w:t xml:space="preserve">באותו סעיף מוגדרת "מטרה ציבורית" כ"מטרה שעניינה דת, תרבות, חינוך, </w:t>
      </w:r>
      <w:r w:rsidRPr="001A638D">
        <w:rPr>
          <w:rFonts w:hint="cs"/>
          <w:sz w:val="26"/>
          <w:rtl/>
        </w:rPr>
        <w:t xml:space="preserve">עידוד להתיישבות, </w:t>
      </w:r>
      <w:r w:rsidRPr="001A638D">
        <w:rPr>
          <w:sz w:val="26"/>
          <w:rtl/>
        </w:rPr>
        <w:t>מדע, בריאות, סעד או ספורט, וכן מטרה שאושרה על ידי שר האוצר כמטרה ציבורית".</w:t>
      </w:r>
    </w:p>
    <w:p w14:paraId="55482D5A" w14:textId="2807A200" w:rsidR="001A638D" w:rsidRPr="001A638D" w:rsidRDefault="001A638D" w:rsidP="00023FAF">
      <w:pPr>
        <w:pStyle w:val="Hesber"/>
        <w:rPr>
          <w:sz w:val="26"/>
          <w:rtl/>
        </w:rPr>
      </w:pPr>
      <w:r w:rsidRPr="001A638D">
        <w:rPr>
          <w:rFonts w:hint="cs"/>
          <w:sz w:val="26"/>
          <w:rtl/>
        </w:rPr>
        <w:t>עד לפני כשנתיים, תנאי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לקבלת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האישור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היה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שמרבית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פעילות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הארגון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מבוצעת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לרווחתם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תושבי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מדינת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ישראל</w:t>
      </w:r>
      <w:r w:rsidRPr="001A638D">
        <w:rPr>
          <w:sz w:val="26"/>
          <w:rtl/>
        </w:rPr>
        <w:t xml:space="preserve">. </w:t>
      </w:r>
      <w:r w:rsidR="001E50CB">
        <w:rPr>
          <w:rFonts w:hint="cs"/>
          <w:sz w:val="26"/>
          <w:rtl/>
        </w:rPr>
        <w:t xml:space="preserve">תנאי זה נקבע בנוהל של שר האוצר, </w:t>
      </w:r>
      <w:r w:rsidRPr="001A638D">
        <w:rPr>
          <w:rFonts w:hint="cs"/>
          <w:sz w:val="26"/>
          <w:rtl/>
        </w:rPr>
        <w:t>אולם בתקופתו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של שר האוצר הקודם, שונתה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ההגדרה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לארגון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שפועל</w:t>
      </w:r>
      <w:r w:rsidRPr="001A638D">
        <w:rPr>
          <w:sz w:val="26"/>
          <w:rtl/>
        </w:rPr>
        <w:t xml:space="preserve"> '</w:t>
      </w:r>
      <w:r w:rsidRPr="001A638D">
        <w:rPr>
          <w:rFonts w:hint="cs"/>
          <w:sz w:val="26"/>
          <w:rtl/>
        </w:rPr>
        <w:t>בזיקה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למדינת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ישראל</w:t>
      </w:r>
      <w:r w:rsidRPr="001A638D">
        <w:rPr>
          <w:sz w:val="26"/>
          <w:rtl/>
        </w:rPr>
        <w:t>'</w:t>
      </w:r>
      <w:r w:rsidRPr="001A638D">
        <w:rPr>
          <w:rFonts w:hint="cs"/>
          <w:sz w:val="26"/>
          <w:rtl/>
        </w:rPr>
        <w:t>,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וכך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גם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עמותות שאינן פועלות לטובת אזרחי ישראל יכולות לקבל את האישור</w:t>
      </w:r>
      <w:r w:rsidRPr="001A638D">
        <w:rPr>
          <w:sz w:val="26"/>
          <w:rtl/>
        </w:rPr>
        <w:t>.</w:t>
      </w:r>
    </w:p>
    <w:p w14:paraId="4D00BFB8" w14:textId="47DE944B" w:rsidR="001A638D" w:rsidRPr="001A638D" w:rsidRDefault="001A638D" w:rsidP="001A638D">
      <w:pPr>
        <w:pStyle w:val="Hesber"/>
        <w:rPr>
          <w:sz w:val="26"/>
          <w:rtl/>
        </w:rPr>
      </w:pPr>
      <w:r w:rsidRPr="001A638D">
        <w:rPr>
          <w:rFonts w:hint="cs"/>
          <w:sz w:val="26"/>
          <w:rtl/>
        </w:rPr>
        <w:t>ההיגיון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מחייב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דווקא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את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הנוהל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הקודם</w:t>
      </w:r>
      <w:r w:rsidRPr="001A638D">
        <w:rPr>
          <w:sz w:val="26"/>
          <w:rtl/>
        </w:rPr>
        <w:t xml:space="preserve"> - </w:t>
      </w:r>
      <w:r w:rsidRPr="001A638D">
        <w:rPr>
          <w:rFonts w:hint="cs"/>
          <w:sz w:val="26"/>
          <w:rtl/>
        </w:rPr>
        <w:t>פטור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ממס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על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תרומות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מהווה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מעין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מימון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אזרחי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המדינה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את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העמותות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הפועלות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למטרות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ציבוריות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ומן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הראוי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שהוא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יינתן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לאלו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הפועלות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לטובת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תושבי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ישראל</w:t>
      </w:r>
      <w:r w:rsidRPr="001A638D">
        <w:rPr>
          <w:sz w:val="26"/>
          <w:rtl/>
        </w:rPr>
        <w:t xml:space="preserve">. </w:t>
      </w:r>
      <w:r w:rsidRPr="001A638D">
        <w:rPr>
          <w:rFonts w:hint="cs"/>
          <w:sz w:val="26"/>
          <w:rtl/>
        </w:rPr>
        <w:t>אזרחי ישראל אינם צריכים לממן מכיסם פעילות שאינה מבוצעת לרווחתם. הם יכולים לעשות זאת כמובן מרצונם החופשי</w:t>
      </w:r>
      <w:r w:rsidR="001E50CB">
        <w:rPr>
          <w:rFonts w:hint="cs"/>
          <w:sz w:val="26"/>
          <w:rtl/>
        </w:rPr>
        <w:t>,</w:t>
      </w:r>
      <w:r w:rsidRPr="001A638D">
        <w:rPr>
          <w:rFonts w:hint="cs"/>
          <w:sz w:val="26"/>
          <w:rtl/>
        </w:rPr>
        <w:t xml:space="preserve"> אולם אי אפשר לכפות זאת עליהם באמצעות מערכת המס הממשלתית. </w:t>
      </w:r>
    </w:p>
    <w:p w14:paraId="30C7D082" w14:textId="6BC3BA59" w:rsidR="001A638D" w:rsidRPr="001A638D" w:rsidRDefault="001A638D" w:rsidP="002A3AC8">
      <w:pPr>
        <w:pStyle w:val="Hesber"/>
        <w:rPr>
          <w:sz w:val="26"/>
          <w:rtl/>
        </w:rPr>
      </w:pPr>
      <w:r w:rsidRPr="001A638D">
        <w:rPr>
          <w:rFonts w:hint="cs"/>
          <w:sz w:val="26"/>
          <w:rtl/>
        </w:rPr>
        <w:t>משום כך מוצע לעגן כעת בחוק את ה</w:t>
      </w:r>
      <w:r w:rsidR="001E50CB">
        <w:rPr>
          <w:rFonts w:hint="cs"/>
          <w:sz w:val="26"/>
          <w:rtl/>
        </w:rPr>
        <w:t>דרישה לפיה המטרה הציבורית שמקדם המוסד הציבורי</w:t>
      </w:r>
      <w:r w:rsidRPr="001A638D">
        <w:rPr>
          <w:rFonts w:hint="cs"/>
          <w:sz w:val="26"/>
          <w:rtl/>
        </w:rPr>
        <w:t xml:space="preserve"> תהיה כזו המבוצעת </w:t>
      </w:r>
      <w:r w:rsidR="002A3AC8">
        <w:rPr>
          <w:rFonts w:hint="cs"/>
          <w:sz w:val="26"/>
          <w:rtl/>
        </w:rPr>
        <w:t>בזיקה ישירה ל</w:t>
      </w:r>
      <w:r w:rsidRPr="001A638D">
        <w:rPr>
          <w:rFonts w:hint="cs"/>
          <w:sz w:val="26"/>
          <w:rtl/>
        </w:rPr>
        <w:t>אזרחי ישראל או יהדות התפוצות. בכך תשקף מדינת ישראל, שוב, את מחויבותה ליהדות התפוצות בכל העולם.</w:t>
      </w:r>
    </w:p>
    <w:p w14:paraId="7C96DCD2" w14:textId="45F7C358" w:rsidR="001A638D" w:rsidRDefault="001A638D" w:rsidP="001A638D">
      <w:pPr>
        <w:pStyle w:val="Hesber"/>
        <w:rPr>
          <w:sz w:val="26"/>
          <w:rtl/>
        </w:rPr>
      </w:pPr>
      <w:r w:rsidRPr="001A638D">
        <w:rPr>
          <w:rFonts w:hint="cs"/>
          <w:sz w:val="26"/>
          <w:rtl/>
        </w:rPr>
        <w:t>בנוסף, מוצע לקבוע כי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יתווסף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תנאי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נוסף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ולפיו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עמותה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שפועלת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נגד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מדינת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ישראל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בעולם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ומשתתפת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במסע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הדה</w:t>
      </w:r>
      <w:r w:rsidRPr="001A638D">
        <w:rPr>
          <w:sz w:val="26"/>
          <w:rtl/>
        </w:rPr>
        <w:t>-</w:t>
      </w:r>
      <w:r w:rsidRPr="001A638D">
        <w:rPr>
          <w:rFonts w:hint="cs"/>
          <w:sz w:val="26"/>
          <w:rtl/>
        </w:rPr>
        <w:t>לגיטימציה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ובקריאות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לחרם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נגדה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לא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תקבל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את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האישור</w:t>
      </w:r>
      <w:r w:rsidRPr="001A638D">
        <w:rPr>
          <w:sz w:val="26"/>
          <w:rtl/>
        </w:rPr>
        <w:t xml:space="preserve">. </w:t>
      </w:r>
      <w:r w:rsidRPr="001A638D">
        <w:rPr>
          <w:rFonts w:hint="cs"/>
          <w:sz w:val="26"/>
          <w:rtl/>
        </w:rPr>
        <w:t>במדינה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דמוקרטית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לא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ניתן, אולי,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למנוע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מעמותה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לפעול</w:t>
      </w:r>
      <w:r w:rsidR="001E50CB">
        <w:rPr>
          <w:rFonts w:hint="cs"/>
          <w:sz w:val="26"/>
          <w:rtl/>
        </w:rPr>
        <w:t>,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אולם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המדינה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לא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חייבת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לעזור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לפעול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נגדה ולממן אותה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באמצעות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הכרה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בתרומות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לצ</w:t>
      </w:r>
      <w:r w:rsidR="001E50CB">
        <w:rPr>
          <w:rFonts w:hint="cs"/>
          <w:sz w:val="26"/>
          <w:rtl/>
        </w:rPr>
        <w:t>ו</w:t>
      </w:r>
      <w:r w:rsidRPr="001A638D">
        <w:rPr>
          <w:rFonts w:hint="cs"/>
          <w:sz w:val="26"/>
          <w:rtl/>
        </w:rPr>
        <w:t>רכי</w:t>
      </w:r>
      <w:r w:rsidRPr="001A638D">
        <w:rPr>
          <w:sz w:val="26"/>
          <w:rtl/>
        </w:rPr>
        <w:t xml:space="preserve"> </w:t>
      </w:r>
      <w:r w:rsidRPr="001A638D">
        <w:rPr>
          <w:rFonts w:hint="cs"/>
          <w:sz w:val="26"/>
          <w:rtl/>
        </w:rPr>
        <w:t>מס</w:t>
      </w:r>
      <w:r w:rsidRPr="001A638D">
        <w:rPr>
          <w:sz w:val="26"/>
          <w:rtl/>
        </w:rPr>
        <w:t>.</w:t>
      </w:r>
    </w:p>
    <w:p w14:paraId="4B242DA4" w14:textId="77777777" w:rsidR="001E50CB" w:rsidRDefault="001E50CB" w:rsidP="001A638D">
      <w:pPr>
        <w:pStyle w:val="Hesber"/>
        <w:rPr>
          <w:sz w:val="26"/>
          <w:rtl/>
        </w:rPr>
      </w:pPr>
    </w:p>
    <w:p w14:paraId="58B89C9E" w14:textId="77777777" w:rsidR="0024435B" w:rsidRPr="001A638D" w:rsidRDefault="0024435B" w:rsidP="001A638D">
      <w:pPr>
        <w:pStyle w:val="Hesber"/>
        <w:rPr>
          <w:sz w:val="26"/>
          <w:rtl/>
        </w:rPr>
      </w:pPr>
      <w:bookmarkStart w:id="8" w:name="_GoBack"/>
      <w:bookmarkEnd w:id="8"/>
    </w:p>
    <w:p w14:paraId="1997C77E" w14:textId="77777777" w:rsidR="0024435B" w:rsidRPr="00D73212" w:rsidRDefault="0024435B" w:rsidP="0024435B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ECCFA8C" w14:textId="77777777" w:rsidR="0024435B" w:rsidRPr="00D73212" w:rsidRDefault="0024435B" w:rsidP="0024435B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48B4BB87" w14:textId="77777777" w:rsidR="0024435B" w:rsidRPr="00D73212" w:rsidRDefault="0024435B" w:rsidP="0024435B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588B0ED2" w14:textId="77777777" w:rsidR="0024435B" w:rsidRPr="00317312" w:rsidRDefault="0024435B" w:rsidP="0024435B">
      <w:pPr>
        <w:pStyle w:val="Hesber"/>
      </w:pPr>
      <w:r>
        <w:rPr>
          <w:rFonts w:hint="cs"/>
          <w:color w:val="auto"/>
          <w:rtl/>
          <w:lang w:eastAsia="en-US"/>
        </w:rPr>
        <w:t>י"א בטבת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9.1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7F6961CB" w14:textId="77777777" w:rsidR="00E13C27" w:rsidRPr="0024435B" w:rsidRDefault="00E13C27" w:rsidP="00E13C27">
      <w:pPr>
        <w:pStyle w:val="Hesber"/>
        <w:rPr>
          <w:rtl/>
        </w:rPr>
      </w:pPr>
    </w:p>
    <w:sectPr w:rsidR="00E13C27" w:rsidRPr="0024435B" w:rsidSect="001E50CB">
      <w:footerReference w:type="even" r:id="rId11"/>
      <w:footerReference w:type="default" r:id="rId12"/>
      <w:pgSz w:w="11907" w:h="16840" w:code="9"/>
      <w:pgMar w:top="851" w:right="1134" w:bottom="426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24435B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CACB922" w14:textId="77777777" w:rsidR="001A638D" w:rsidRDefault="001A638D" w:rsidP="001A638D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דיני מדינת ישראל, נוסח חדש 6, עמ'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23FAF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A638D"/>
    <w:rsid w:val="001C23B0"/>
    <w:rsid w:val="001D3348"/>
    <w:rsid w:val="001D7AAF"/>
    <w:rsid w:val="001E50CB"/>
    <w:rsid w:val="00203A7F"/>
    <w:rsid w:val="0021633A"/>
    <w:rsid w:val="002200A1"/>
    <w:rsid w:val="002362BF"/>
    <w:rsid w:val="00241B97"/>
    <w:rsid w:val="002425D1"/>
    <w:rsid w:val="0024435B"/>
    <w:rsid w:val="00246756"/>
    <w:rsid w:val="00251E58"/>
    <w:rsid w:val="00254605"/>
    <w:rsid w:val="00266D86"/>
    <w:rsid w:val="002728B4"/>
    <w:rsid w:val="0027600C"/>
    <w:rsid w:val="00292712"/>
    <w:rsid w:val="002A3AC8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2285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uiPriority w:val="99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uiPriority w:val="99"/>
    <w:rsid w:val="00B975AD"/>
  </w:style>
  <w:style w:type="paragraph" w:customStyle="1" w:styleId="TableBlock">
    <w:name w:val="Table Block"/>
    <w:basedOn w:val="TableText"/>
    <w:uiPriority w:val="99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uiPriority w:val="99"/>
    <w:locked/>
    <w:rsid w:val="001A638D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21D4-4290-4E37-9EA1-1E2622D4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5B33DB-6C41-47BD-A68D-4A8313FD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9</cp:revision>
  <cp:lastPrinted>2017-01-05T09:55:00Z</cp:lastPrinted>
  <dcterms:created xsi:type="dcterms:W3CDTF">2015-04-20T09:58:00Z</dcterms:created>
  <dcterms:modified xsi:type="dcterms:W3CDTF">2017-01-05T09:56:00Z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2008124</vt:r8>
  </property>
</Properties>
</file>